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jc w:val="center"/>
        <w:rPr>
          <w:rFonts w:ascii="Times New Roman" w:eastAsia="方正小标宋_GBK" w:cs="Times New Roman" w:hAnsi="Times New Roman"/>
          <w:sz w:val="44"/>
          <w:szCs w:val="44"/>
        </w:rPr>
      </w:pPr>
      <w:r>
        <w:rPr>
          <w:rFonts w:ascii="Times New Roman" w:eastAsia="方正小标宋_GBK" w:cs="Times New Roman" w:hAnsi="Times New Roman"/>
          <w:sz w:val="44"/>
          <w:szCs w:val="44"/>
        </w:rPr>
        <w:t>高新区盾构渣集中处置项目通用部分易损件采购</w:t>
      </w:r>
    </w:p>
    <w:p>
      <w:pPr>
        <w:spacing w:line="560" w:lineRule="exact"/>
        <w:jc w:val="center"/>
        <w:rPr>
          <w:rFonts w:ascii="Times New Roman" w:eastAsia="方正小标宋_GBK" w:cs="Times New Roman" w:hAnsi="Times New Roman"/>
          <w:sz w:val="44"/>
          <w:szCs w:val="44"/>
        </w:rPr>
      </w:pPr>
      <w:r>
        <w:rPr>
          <w:rFonts w:ascii="Times New Roman" w:eastAsia="方正小标宋_GBK" w:cs="Times New Roman" w:hAnsi="Times New Roman"/>
          <w:sz w:val="44"/>
          <w:szCs w:val="44"/>
        </w:rPr>
        <w:t>比选文件</w:t>
      </w:r>
    </w:p>
    <w:p>
      <w:pPr>
        <w:spacing w:line="560" w:lineRule="exact"/>
        <w:rPr>
          <w:rFonts w:ascii="Times New Roman" w:eastAsia="仿宋_GB2312" w:cs="Times New Roman" w:hAnsi="Times New Roman"/>
          <w:sz w:val="32"/>
          <w:szCs w:val="32"/>
          <w:u w:val="single" w:color="auto"/>
        </w:rPr>
      </w:pPr>
    </w:p>
    <w:p>
      <w:pPr>
        <w:pStyle w:val="15"/>
        <w:spacing w:beforeAutospacing="0" w:afterAutospacing="0" w:line="560" w:lineRule="exact"/>
        <w:ind w:left="0" w:firstLineChars="200" w:firstLine="560"/>
        <w:rPr>
          <w:rFonts w:eastAsia="方正仿宋_GBK"/>
          <w:sz w:val="28"/>
          <w:szCs w:val="28"/>
        </w:rPr>
      </w:pPr>
      <w:r>
        <w:rPr>
          <w:rFonts w:eastAsia="方正仿宋_GBK"/>
          <w:sz w:val="28"/>
          <w:szCs w:val="28"/>
        </w:rPr>
        <w:t>我司拟开展</w:t>
      </w:r>
      <w:r>
        <w:rPr>
          <w:rFonts w:eastAsia="方正仿宋_GBK"/>
          <w:sz w:val="28"/>
          <w:szCs w:val="28"/>
          <w:u w:val="single"/>
        </w:rPr>
        <w:t>高新区盾构渣集中处置项目处置设备通用部分易损件采购</w:t>
      </w:r>
      <w:r>
        <w:rPr>
          <w:rFonts w:eastAsia="方正仿宋_GBK"/>
          <w:sz w:val="28"/>
          <w:szCs w:val="28"/>
        </w:rPr>
        <w:t>工作，本次易损件供应单位的确定将采用公开竞争性比选方式进行。潜在竞选人自愿参加报价和比选。项目具体情况如下：</w:t>
      </w:r>
    </w:p>
    <w:p>
      <w:pPr>
        <w:pStyle w:val="15"/>
      </w:pPr>
    </w:p>
    <w:tbl>
      <w:tblPr>
        <w:jc w:val="cente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Look w:val="04A0" w:firstRow="1" w:lastRow="0" w:firstColumn="1" w:lastColumn="0" w:noHBand="0" w:noVBand="1"/>
      </w:tblPr>
      <w:tblGrid>
        <w:gridCol w:w="1364"/>
        <w:gridCol w:w="7696"/>
      </w:tblGrid>
      <w:tr>
        <w:tc>
          <w:tcPr>
            <w:tcW w:w="9060" w:type="dxa"/>
            <w:gridSpan w:val="2"/>
            <w:vAlign w:val="center"/>
          </w:tcPr>
          <w:p>
            <w:pPr>
              <w:adjustRightInd w:val="0"/>
              <w:snapToGrid w:val="0"/>
              <w:spacing w:line="36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 xml:space="preserve">一、项目概况 </w:t>
            </w:r>
          </w:p>
        </w:tc>
      </w:tr>
      <w:tr>
        <w:tc>
          <w:tcPr>
            <w:tcW w:w="1364" w:type="dxa"/>
            <w:vAlign w:val="center"/>
          </w:tcPr>
          <w:p>
            <w:pPr>
              <w:adjustRightInd w:val="0"/>
              <w:snapToGrid w:val="0"/>
              <w:spacing w:line="36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项目名称</w:t>
            </w:r>
          </w:p>
        </w:tc>
        <w:tc>
          <w:tcPr>
            <w:tcW w:w="7695" w:type="dxa"/>
            <w:tcBorders>
              <w:left w:val="single" w:sz="4" w:space="0" w:color="000000"/>
            </w:tcBorders>
            <w:vAlign w:val="center"/>
          </w:tcPr>
          <w:p>
            <w:pPr>
              <w:spacing w:line="56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高新区盾构渣集中处置项目处置设备通用部分易损件采购</w:t>
            </w:r>
          </w:p>
        </w:tc>
      </w:tr>
      <w:tr>
        <w:trPr>
          <w:trHeight w:val="90"/>
        </w:trPr>
        <w:tc>
          <w:tcPr>
            <w:tcW w:w="1364" w:type="dxa"/>
            <w:vAlign w:val="center"/>
          </w:tcPr>
          <w:p>
            <w:pPr>
              <w:adjustRightInd w:val="0"/>
              <w:snapToGrid w:val="0"/>
              <w:spacing w:line="36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项目具体概况</w:t>
            </w:r>
          </w:p>
        </w:tc>
        <w:tc>
          <w:tcPr>
            <w:tcW w:w="7695" w:type="dxa"/>
            <w:tcBorders>
              <w:left w:val="single" w:sz="4" w:space="0" w:color="000000"/>
            </w:tcBorders>
            <w:vAlign w:val="center"/>
          </w:tcPr>
          <w:p>
            <w:pPr>
              <w:spacing w:line="360" w:lineRule="exact"/>
              <w:ind w:firstLineChars="200" w:firstLine="480"/>
              <w:rPr>
                <w:rFonts w:ascii="方正仿宋_GBK" w:eastAsia="方正仿宋_GBK" w:cs="方正仿宋_GBK" w:hAnsi="方正仿宋_GBK" w:hint="eastAsia"/>
              </w:rPr>
            </w:pPr>
            <w:r>
              <w:rPr>
                <w:rFonts w:ascii="方正仿宋_GBK" w:eastAsia="方正仿宋_GBK" w:cs="方正仿宋_GBK" w:hAnsi="方正仿宋_GBK" w:hint="eastAsia"/>
                <w:sz w:val="24"/>
                <w:szCs w:val="24"/>
              </w:rPr>
              <w:t>高新区盾构渣集中处置项目需采购一批处置设备的易损件，包括润滑油、皮带机易损件、阀门、振动筛易损件、脱水筛易损件等共计</w:t>
            </w:r>
            <w:r>
              <w:rPr>
                <w:rFonts w:ascii="方正仿宋_GBK" w:eastAsia="方正仿宋_GBK" w:cs="方正仿宋_GBK" w:hAnsi="方正仿宋_GBK"/>
                <w:sz w:val="24"/>
                <w:szCs w:val="24"/>
              </w:rPr>
              <w:t>六</w:t>
            </w:r>
            <w:r>
              <w:rPr>
                <w:rFonts w:ascii="方正仿宋_GBK" w:eastAsia="方正仿宋_GBK" w:cs="方正仿宋_GBK" w:hAnsi="方正仿宋_GBK" w:hint="eastAsia"/>
                <w:sz w:val="24"/>
                <w:szCs w:val="24"/>
              </w:rPr>
              <w:t>大类（具体种类详见采购清单、单价限价及总价限价表）。按单价固定方式签订采购合同，按每批次购买种类和数量据实结算费用。</w:t>
            </w:r>
          </w:p>
        </w:tc>
      </w:tr>
      <w:tr>
        <w:tc>
          <w:tcPr>
            <w:tcW w:w="1364" w:type="dxa"/>
            <w:vAlign w:val="center"/>
          </w:tcPr>
          <w:p>
            <w:pPr>
              <w:adjustRightInd w:val="0"/>
              <w:snapToGrid w:val="0"/>
              <w:spacing w:line="36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工期</w:t>
            </w:r>
          </w:p>
        </w:tc>
        <w:tc>
          <w:tcPr>
            <w:tcW w:w="7695" w:type="dxa"/>
            <w:tcBorders>
              <w:left w:val="single" w:sz="4" w:space="0" w:color="000000"/>
            </w:tcBorders>
            <w:vAlign w:val="center"/>
          </w:tcPr>
          <w:p>
            <w:pPr>
              <w:spacing w:line="360" w:lineRule="exact"/>
              <w:jc w:val="left"/>
              <w:rPr>
                <w:rFonts w:ascii="Times New Roman" w:eastAsia="方正仿宋_GBK" w:cs="Times New Roman" w:hAnsi="Times New Roman"/>
                <w:sz w:val="24"/>
                <w:szCs w:val="24"/>
              </w:rPr>
            </w:pPr>
            <w:r>
              <w:rPr>
                <w:rFonts w:ascii="Times New Roman" w:eastAsia="方正仿宋_GBK" w:cs="Times New Roman" w:hAnsi="Times New Roman"/>
                <w:sz w:val="24"/>
                <w:szCs w:val="24"/>
              </w:rPr>
              <w:t>自合同签订之日起2年。</w:t>
            </w:r>
          </w:p>
        </w:tc>
      </w:tr>
      <w:tr>
        <w:trPr>
          <w:trHeight w:val="484"/>
        </w:trPr>
        <w:tc>
          <w:tcPr>
            <w:tcW w:w="1364" w:type="dxa"/>
            <w:vAlign w:val="center"/>
          </w:tcPr>
          <w:p>
            <w:pPr>
              <w:adjustRightInd w:val="0"/>
              <w:snapToGrid w:val="0"/>
              <w:spacing w:line="36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预计服务时间</w:t>
            </w:r>
          </w:p>
        </w:tc>
        <w:tc>
          <w:tcPr>
            <w:tcW w:w="7695" w:type="dxa"/>
            <w:tcBorders>
              <w:left w:val="single" w:sz="4" w:space="0" w:color="000000"/>
            </w:tcBorders>
            <w:vAlign w:val="center"/>
          </w:tcPr>
          <w:p>
            <w:pPr>
              <w:adjustRightInd w:val="0"/>
              <w:snapToGrid w:val="0"/>
              <w:spacing w:line="36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2025年4月起</w:t>
            </w:r>
          </w:p>
        </w:tc>
      </w:tr>
      <w:tr>
        <w:trPr>
          <w:trHeight w:val="484"/>
        </w:trPr>
        <w:tc>
          <w:tcPr>
            <w:tcW w:w="1364" w:type="dxa"/>
            <w:vAlign w:val="center"/>
          </w:tcPr>
          <w:p>
            <w:pPr>
              <w:adjustRightInd w:val="0"/>
              <w:snapToGrid w:val="0"/>
              <w:spacing w:line="36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竞选保证金</w:t>
            </w:r>
          </w:p>
        </w:tc>
        <w:tc>
          <w:tcPr>
            <w:tcW w:w="7695" w:type="dxa"/>
            <w:tcBorders>
              <w:left w:val="single" w:sz="4" w:space="0" w:color="000000"/>
            </w:tcBorders>
            <w:vAlign w:val="center"/>
          </w:tcPr>
          <w:p>
            <w:pPr>
              <w:spacing w:beforeAutospacing="0" w:afterAutospacing="0" w:line="300" w:lineRule="exact"/>
              <w:rPr>
                <w:rFonts w:ascii="Times New Roman" w:eastAsia="方正仿宋_GBK" w:cs="Times New Roman" w:hAnsi="Times New Roman"/>
                <w:sz w:val="24"/>
                <w:szCs w:val="24"/>
                <w:lang w:eastAsia="zh-CN"/>
                <w:highlight w:val="auto"/>
              </w:rPr>
            </w:pPr>
            <w:r>
              <w:rPr>
                <w:rFonts w:ascii="Times New Roman" w:eastAsia="方正仿宋_GBK" w:cs="Times New Roman" w:hAnsi="Times New Roman"/>
                <w:sz w:val="24"/>
                <w:szCs w:val="24"/>
                <w:lang w:val="en-US" w:eastAsia="zh-CN"/>
                <w:highlight w:val="auto"/>
              </w:rPr>
              <w:t>1.竞选人在2025</w:t>
            </w:r>
            <w:r>
              <w:rPr>
                <w:rFonts w:ascii="Times New Roman" w:eastAsia="方正仿宋_GBK" w:cs="Times New Roman" w:hAnsi="Times New Roman"/>
                <w:sz w:val="24"/>
                <w:szCs w:val="24"/>
                <w:highlight w:val="auto"/>
              </w:rPr>
              <w:t>年4月2日</w:t>
            </w:r>
            <w:r>
              <w:rPr>
                <w:rFonts w:ascii="Times New Roman" w:eastAsia="方正仿宋_GBK" w:cs="Times New Roman" w:hAnsi="Times New Roman"/>
                <w:sz w:val="24"/>
                <w:szCs w:val="24"/>
                <w:lang w:val="en-US" w:eastAsia="zh-CN"/>
                <w:highlight w:val="auto"/>
              </w:rPr>
              <w:t>14</w:t>
            </w:r>
            <w:r>
              <w:rPr>
                <w:rFonts w:ascii="Times New Roman" w:eastAsia="方正仿宋_GBK" w:cs="Times New Roman" w:hAnsi="Times New Roman"/>
                <w:sz w:val="24"/>
                <w:szCs w:val="24"/>
                <w:highlight w:val="auto"/>
              </w:rPr>
              <w:t>时</w:t>
            </w:r>
            <w:r>
              <w:rPr>
                <w:rFonts w:ascii="Times New Roman" w:eastAsia="方正仿宋_GBK" w:cs="Times New Roman" w:hAnsi="Times New Roman"/>
                <w:sz w:val="24"/>
                <w:szCs w:val="24"/>
                <w:lang w:val="en-US" w:eastAsia="zh-CN"/>
                <w:highlight w:val="auto"/>
              </w:rPr>
              <w:t>00</w:t>
            </w:r>
            <w:r>
              <w:rPr>
                <w:rFonts w:ascii="Times New Roman" w:eastAsia="方正仿宋_GBK" w:cs="Times New Roman" w:hAnsi="Times New Roman"/>
                <w:sz w:val="24"/>
                <w:szCs w:val="24"/>
                <w:highlight w:val="auto"/>
              </w:rPr>
              <w:t>分</w:t>
            </w:r>
            <w:r>
              <w:rPr>
                <w:rFonts w:ascii="Times New Roman" w:eastAsia="方正仿宋_GBK" w:cs="Times New Roman" w:hAnsi="Times New Roman"/>
                <w:sz w:val="24"/>
                <w:szCs w:val="24"/>
                <w:lang w:eastAsia="zh-CN"/>
                <w:highlight w:val="auto"/>
              </w:rPr>
              <w:t>前缴纳</w:t>
            </w:r>
            <w:r>
              <w:rPr>
                <w:rFonts w:ascii="Times New Roman" w:eastAsia="方正仿宋_GBK" w:cs="Times New Roman" w:hAnsi="Times New Roman"/>
                <w:sz w:val="24"/>
                <w:szCs w:val="24"/>
                <w:lang w:val="en-US" w:eastAsia="zh-CN"/>
                <w:highlight w:val="auto"/>
              </w:rPr>
              <w:t>投标保证金¥8261元（大写：人民币捌仟贰佰陆拾壹元整）</w:t>
            </w:r>
            <w:r>
              <w:rPr>
                <w:rFonts w:ascii="Times New Roman" w:eastAsia="方正仿宋_GBK" w:cs="Times New Roman" w:hAnsi="Times New Roman"/>
                <w:sz w:val="24"/>
                <w:szCs w:val="24"/>
                <w:lang w:eastAsia="zh-CN"/>
                <w:highlight w:val="auto"/>
              </w:rPr>
              <w:t>，</w:t>
            </w:r>
            <w:r>
              <w:rPr>
                <w:rFonts w:ascii="Times New Roman" w:eastAsia="方正仿宋_GBK" w:cs="Times New Roman" w:hAnsi="Times New Roman"/>
                <w:sz w:val="24"/>
                <w:szCs w:val="24"/>
                <w:highlight w:val="auto"/>
              </w:rPr>
              <w:t>并在汇款时备注</w:t>
            </w:r>
            <w:r>
              <w:rPr>
                <w:rFonts w:ascii="Times New Roman" w:eastAsia="方正仿宋_GBK" w:cs="Times New Roman" w:hAnsi="Times New Roman"/>
                <w:sz w:val="24"/>
                <w:szCs w:val="24"/>
                <w:lang w:eastAsia="zh-CN"/>
                <w:highlight w:val="auto"/>
              </w:rPr>
              <w:t>“</w:t>
            </w:r>
            <w:r>
              <w:rPr>
                <w:rFonts w:ascii="Times New Roman" w:eastAsia="方正仿宋_GBK" w:cs="Times New Roman" w:hAnsi="Times New Roman"/>
                <w:sz w:val="24"/>
                <w:szCs w:val="24"/>
              </w:rPr>
              <w:t>高新区盾构渣集中处置项目处置设备通用部分易损件采购</w:t>
            </w:r>
            <w:r>
              <w:rPr>
                <w:rFonts w:ascii="Times New Roman" w:eastAsia="方正仿宋_GBK" w:cs="Times New Roman" w:hAnsi="Times New Roman"/>
                <w:sz w:val="24"/>
                <w:szCs w:val="24"/>
                <w:lang w:val="en-US" w:eastAsia="zh-CN"/>
                <w:highlight w:val="auto"/>
              </w:rPr>
              <w:t>竞选保证金</w:t>
            </w:r>
            <w:r>
              <w:rPr>
                <w:rFonts w:ascii="Times New Roman" w:eastAsia="方正仿宋_GBK" w:cs="Times New Roman" w:hAnsi="Times New Roman"/>
                <w:sz w:val="24"/>
                <w:szCs w:val="24"/>
                <w:lang w:eastAsia="zh-CN"/>
                <w:highlight w:val="auto"/>
              </w:rPr>
              <w:t>”，</w:t>
            </w:r>
            <w:r>
              <w:rPr>
                <w:rFonts w:ascii="Times New Roman" w:eastAsia="方正仿宋_GBK" w:cs="Times New Roman" w:hAnsi="Times New Roman"/>
                <w:sz w:val="24"/>
                <w:szCs w:val="24"/>
                <w:lang w:val="en-US" w:eastAsia="zh-CN"/>
                <w:highlight w:val="auto"/>
              </w:rPr>
              <w:t>约定期限内未缴纳的无参加比选资格。</w:t>
            </w:r>
          </w:p>
          <w:p>
            <w:pPr>
              <w:spacing w:beforeAutospacing="0" w:afterAutospacing="0" w:line="300" w:lineRule="exact"/>
              <w:rPr>
                <w:rFonts w:ascii="Times New Roman" w:eastAsia="方正仿宋_GBK" w:cs="Times New Roman" w:hAnsi="Times New Roman"/>
                <w:sz w:val="24"/>
                <w:szCs w:val="24"/>
                <w:lang w:eastAsia="zh-CN"/>
                <w:highlight w:val="auto"/>
              </w:rPr>
            </w:pPr>
            <w:r>
              <w:rPr>
                <w:rFonts w:ascii="Times New Roman" w:eastAsia="方正仿宋_GBK" w:cs="Times New Roman" w:hAnsi="Times New Roman"/>
                <w:sz w:val="24"/>
                <w:szCs w:val="24"/>
                <w:lang w:val="en-US" w:eastAsia="zh-CN"/>
                <w:highlight w:val="auto"/>
              </w:rPr>
              <w:t>2.未中选单位所缴投标保证金于中选通知书发放后10个工作日内无息退还，中选单位投标保证金转为履约保证金。</w:t>
            </w:r>
          </w:p>
          <w:p>
            <w:pPr>
              <w:adjustRightInd w:val="0"/>
              <w:snapToGrid w:val="0"/>
              <w:spacing w:beforeAutospacing="0" w:afterAutospacing="0" w:line="30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lang w:val="en-US" w:eastAsia="zh-CN"/>
                <w:highlight w:val="auto"/>
              </w:rPr>
              <w:t>3.若经比选人发现比选单位所提供资料存在弄虚作假，则取消其比选资格，且竞选保证金不予退还。</w:t>
            </w:r>
          </w:p>
        </w:tc>
      </w:tr>
      <w:tr>
        <w:trPr>
          <w:trHeight w:val="484"/>
        </w:trPr>
        <w:tc>
          <w:tcPr>
            <w:tcW w:w="1364" w:type="dxa"/>
            <w:vAlign w:val="center"/>
          </w:tcPr>
          <w:p>
            <w:pPr>
              <w:adjustRightInd w:val="0"/>
              <w:snapToGrid w:val="0"/>
              <w:spacing w:line="36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履约保证金</w:t>
            </w:r>
          </w:p>
        </w:tc>
        <w:tc>
          <w:tcPr>
            <w:tcW w:w="7695" w:type="dxa"/>
            <w:tcBorders>
              <w:left w:val="single" w:sz="4" w:space="0" w:color="000000"/>
            </w:tcBorders>
            <w:vAlign w:val="center"/>
          </w:tcPr>
          <w:p>
            <w:pPr>
              <w:spacing w:beforeAutospacing="0" w:afterAutospacing="0" w:line="300" w:lineRule="exact"/>
              <w:rPr>
                <w:rFonts w:ascii="Times New Roman" w:eastAsia="方正仿宋_GBK" w:cs="Times New Roman" w:hAnsi="Times New Roman"/>
                <w:sz w:val="24"/>
                <w:szCs w:val="24"/>
                <w:highlight w:val="auto"/>
              </w:rPr>
            </w:pPr>
            <w:r>
              <w:rPr>
                <w:rFonts w:ascii="Times New Roman" w:eastAsia="方正仿宋_GBK" w:cs="Times New Roman" w:hAnsi="Times New Roman"/>
                <w:sz w:val="24"/>
                <w:szCs w:val="24"/>
                <w:highlight w:val="auto"/>
              </w:rPr>
              <w:t>1.¥8261元（大写：人民币</w:t>
            </w:r>
            <w:r>
              <w:rPr>
                <w:rFonts w:ascii="Times New Roman" w:eastAsia="方正仿宋_GBK" w:cs="Times New Roman" w:hAnsi="Times New Roman"/>
                <w:sz w:val="24"/>
                <w:szCs w:val="24"/>
                <w:lang w:val="en-US" w:eastAsia="zh-CN"/>
                <w:highlight w:val="auto"/>
              </w:rPr>
              <w:t>捌仟贰佰陆拾壹</w:t>
            </w:r>
            <w:r>
              <w:rPr>
                <w:rFonts w:ascii="Times New Roman" w:eastAsia="方正仿宋_GBK" w:cs="Times New Roman" w:hAnsi="Times New Roman"/>
                <w:sz w:val="24"/>
                <w:szCs w:val="24"/>
                <w:highlight w:val="auto"/>
              </w:rPr>
              <w:t>元整）。</w:t>
            </w:r>
          </w:p>
          <w:p>
            <w:pPr>
              <w:spacing w:beforeAutospacing="0" w:afterAutospacing="0" w:line="300" w:lineRule="exact"/>
              <w:rPr>
                <w:rFonts w:ascii="Times New Roman" w:eastAsia="方正仿宋_GBK" w:cs="Times New Roman" w:hAnsi="Times New Roman"/>
                <w:sz w:val="24"/>
                <w:szCs w:val="24"/>
                <w:lang w:val="en-US" w:eastAsia="zh-CN"/>
                <w:highlight w:val="auto"/>
              </w:rPr>
            </w:pPr>
            <w:r>
              <w:rPr>
                <w:rFonts w:ascii="Times New Roman" w:eastAsia="方正仿宋_GBK" w:cs="Times New Roman" w:hAnsi="Times New Roman"/>
                <w:sz w:val="24"/>
                <w:szCs w:val="24"/>
                <w:highlight w:val="auto"/>
              </w:rPr>
              <w:t>2.中选单位投标保证金自动转为履约保证金，履约保证金在合同期满且经甲方确认乙方无违约后，甲方凭乙方的履约保证金缴纳收据原件无息退还。</w:t>
            </w:r>
          </w:p>
        </w:tc>
      </w:tr>
      <w:tr>
        <w:trPr>
          <w:trHeight w:val="484"/>
        </w:trPr>
        <w:tc>
          <w:tcPr>
            <w:tcW w:w="1364" w:type="dxa"/>
            <w:vAlign w:val="center"/>
          </w:tcPr>
          <w:p>
            <w:pPr>
              <w:adjustRightInd w:val="0"/>
              <w:snapToGrid w:val="0"/>
              <w:spacing w:line="36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保证金</w:t>
            </w:r>
          </w:p>
          <w:p>
            <w:pPr>
              <w:adjustRightInd w:val="0"/>
              <w:snapToGrid w:val="0"/>
              <w:spacing w:line="36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缴纳账户</w:t>
            </w:r>
          </w:p>
        </w:tc>
        <w:tc>
          <w:tcPr>
            <w:tcW w:w="7695" w:type="dxa"/>
            <w:tcBorders>
              <w:left w:val="single" w:sz="4" w:space="0" w:color="000000"/>
            </w:tcBorders>
            <w:vAlign w:val="center"/>
          </w:tcPr>
          <w:p>
            <w:pPr>
              <w:spacing w:beforeAutospacing="0" w:afterAutospacing="0" w:line="30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开户银行：</w:t>
            </w:r>
            <w:r>
              <w:rPr>
                <w:rFonts w:ascii="Times New Roman" w:eastAsia="方正仿宋_GBK" w:cs="Times New Roman" w:hAnsi="Times New Roman"/>
                <w:sz w:val="24"/>
                <w:szCs w:val="24"/>
                <w:lang w:val="en-US" w:eastAsia="zh-CN"/>
              </w:rPr>
              <w:t>浦发银行解放碑支行</w:t>
            </w:r>
          </w:p>
          <w:p>
            <w:pPr>
              <w:spacing w:beforeAutospacing="0" w:afterAutospacing="0" w:line="30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户   名：重庆</w:t>
            </w:r>
            <w:r>
              <w:rPr>
                <w:rFonts w:ascii="Times New Roman" w:eastAsia="方正仿宋_GBK" w:cs="Times New Roman" w:hAnsi="Times New Roman"/>
                <w:sz w:val="24"/>
                <w:szCs w:val="24"/>
                <w:lang w:val="en-US" w:eastAsia="zh-CN"/>
              </w:rPr>
              <w:t>城市综合交通枢纽（集团）</w:t>
            </w:r>
            <w:r>
              <w:rPr>
                <w:rFonts w:ascii="Times New Roman" w:eastAsia="方正仿宋_GBK" w:cs="Times New Roman" w:hAnsi="Times New Roman"/>
                <w:sz w:val="24"/>
                <w:szCs w:val="24"/>
              </w:rPr>
              <w:t xml:space="preserve">有限公司 </w:t>
            </w:r>
          </w:p>
          <w:p>
            <w:pPr>
              <w:spacing w:beforeAutospacing="0" w:afterAutospacing="0" w:line="300" w:lineRule="exact"/>
              <w:rPr>
                <w:rFonts w:ascii="楷体" w:eastAsia="楷体" w:cs="楷体" w:hAnsi="楷体"/>
                <w:color w:val="auto"/>
                <w:sz w:val="24"/>
                <w:szCs w:val="24"/>
                <w:lang w:val="en-US" w:eastAsia="zh-CN"/>
                <w:highlight w:val="auto"/>
              </w:rPr>
            </w:pPr>
            <w:r>
              <w:rPr>
                <w:rFonts w:ascii="Times New Roman" w:eastAsia="方正仿宋_GBK" w:cs="Times New Roman" w:hAnsi="Times New Roman"/>
                <w:sz w:val="24"/>
                <w:szCs w:val="24"/>
              </w:rPr>
              <w:t>银行账号：</w:t>
            </w:r>
            <w:r>
              <w:rPr>
                <w:rFonts w:ascii="Times New Roman" w:eastAsia="方正仿宋_GBK" w:cs="Times New Roman" w:hAnsi="Times New Roman"/>
                <w:sz w:val="24"/>
                <w:szCs w:val="24"/>
                <w:lang w:val="en-US" w:eastAsia="zh-CN"/>
              </w:rPr>
              <w:t xml:space="preserve">83150154900000062  </w:t>
            </w:r>
          </w:p>
        </w:tc>
      </w:tr>
      <w:tr>
        <w:tc>
          <w:tcPr>
            <w:tcW w:w="9060" w:type="dxa"/>
            <w:gridSpan w:val="2"/>
            <w:vAlign w:val="center"/>
          </w:tcPr>
          <w:p>
            <w:pPr>
              <w:adjustRightInd w:val="0"/>
              <w:snapToGrid w:val="0"/>
              <w:spacing w:line="36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二、竞选人须知</w:t>
            </w:r>
          </w:p>
        </w:tc>
      </w:tr>
      <w:tr>
        <w:trPr>
          <w:trHeight w:val="90"/>
        </w:trPr>
        <w:tc>
          <w:tcPr>
            <w:tcW w:w="1364" w:type="dxa"/>
            <w:vAlign w:val="center"/>
          </w:tcPr>
          <w:p>
            <w:pPr>
              <w:adjustRightInd w:val="0"/>
              <w:snapToGrid w:val="0"/>
              <w:spacing w:line="36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比选范围及内容</w:t>
            </w:r>
          </w:p>
        </w:tc>
        <w:tc>
          <w:tcPr>
            <w:tcW w:w="7695" w:type="dxa"/>
            <w:tcBorders>
              <w:left w:val="single" w:sz="4" w:space="0" w:color="000000"/>
            </w:tcBorders>
            <w:vAlign w:val="center"/>
          </w:tcPr>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1.处置设备的易损件，包括润滑油、皮带机易损件、阀门、振动筛易损件、脱水筛易损件等共计六大类（具体种类详见采购清单）。</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2.确定各类易损件单价。</w:t>
            </w:r>
          </w:p>
        </w:tc>
      </w:tr>
      <w:tr>
        <w:trPr>
          <w:trHeight w:val="90"/>
        </w:trPr>
        <w:tc>
          <w:tcPr>
            <w:tcW w:w="1364" w:type="dxa"/>
            <w:vAlign w:val="center"/>
          </w:tcPr>
          <w:p>
            <w:pPr>
              <w:adjustRightInd w:val="0"/>
              <w:snapToGrid w:val="0"/>
              <w:spacing w:line="36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质量目标</w:t>
            </w:r>
          </w:p>
        </w:tc>
        <w:tc>
          <w:tcPr>
            <w:tcW w:w="7695" w:type="dxa"/>
            <w:tcBorders>
              <w:left w:val="single" w:sz="4" w:space="0" w:color="000000"/>
            </w:tcBorders>
            <w:vAlign w:val="center"/>
          </w:tcPr>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产品质量符合国家生产定制标准。</w:t>
            </w:r>
          </w:p>
        </w:tc>
      </w:tr>
      <w:tr>
        <w:trPr>
          <w:trHeight w:val="901"/>
        </w:trPr>
        <w:tc>
          <w:tcPr>
            <w:tcW w:w="1364" w:type="dxa"/>
            <w:vAlign w:val="center"/>
          </w:tcPr>
          <w:p>
            <w:pPr>
              <w:adjustRightInd w:val="0"/>
              <w:snapToGrid w:val="0"/>
              <w:spacing w:line="36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竞选人资格要求</w:t>
            </w:r>
          </w:p>
        </w:tc>
        <w:tc>
          <w:tcPr>
            <w:tcW w:w="7695" w:type="dxa"/>
            <w:tcBorders>
              <w:left w:val="single" w:sz="4" w:space="0" w:color="000000"/>
            </w:tcBorders>
            <w:vAlign w:val="center"/>
          </w:tcPr>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本项目比选实行资格后审，竞选人应具备以下资格条件：</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1.竞选人应当为独立法人，并具备统一社会信用代码（附营业执照复印件）。</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2.业绩要求：2022年至今与国有企业或政府部门签订类似物资采购合同并履行完合同义务的相关采购业绩2个（提供合同复印件、合同收款证明及发票）。</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3.竞选人自行承诺：所供产品供货时均可提供生产厂家授权书或产品合格的相关证明。</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4.资格情况：</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竞选人自行承诺不得存在下列情形之一：</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（1）被人民法院列入失信被执行人名单且在被执行期内；</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（2）被国家、重庆市（含市或任意区县）有关行政部门处以暂停投标资格行政处罚，且在处罚期限内</w:t>
            </w:r>
            <w:r>
              <w:rPr>
                <w:rStyle w:val="0"/>
                <w:rFonts w:ascii="Times New Roman" w:eastAsia="方正仿宋_GBK" w:cs="Times New Roman" w:hAnsi="Times New Roman"/>
                <w:sz w:val="24"/>
                <w:szCs w:val="24"/>
              </w:rPr>
              <w:t>（提供“信用中国”截图）</w:t>
            </w:r>
            <w:r>
              <w:rPr>
                <w:rFonts w:ascii="Times New Roman" w:eastAsia="方正仿宋_GBK" w:cs="Times New Roman" w:hAnsi="Times New Roman"/>
                <w:sz w:val="24"/>
                <w:szCs w:val="24"/>
              </w:rPr>
              <w:t>；</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（3）被重庆市市级有关行业主管部门暂停在渝承揽新业务且在暂停期内；</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（4）在比选人官网“重庆城市综合交通枢纽（集团）有限公司（www.cqjtsn.com）”公示的供应商黑名单中。</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5.本项目不接受联合体，中选后不得转包、分包。</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（提供的上述内容加盖比选申请人单位鲜章）</w:t>
            </w:r>
          </w:p>
        </w:tc>
      </w:tr>
      <w:tr>
        <w:trPr>
          <w:trHeight w:val="810"/>
        </w:trPr>
        <w:tc>
          <w:tcPr>
            <w:tcW w:w="1364" w:type="dxa"/>
            <w:vAlign w:val="center"/>
          </w:tcPr>
          <w:p>
            <w:pPr>
              <w:spacing w:line="32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踏勘</w:t>
            </w:r>
          </w:p>
          <w:p>
            <w:pPr>
              <w:spacing w:line="32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现场</w:t>
            </w:r>
          </w:p>
        </w:tc>
        <w:tc>
          <w:tcPr>
            <w:tcW w:w="7695" w:type="dxa"/>
            <w:tcBorders>
              <w:left w:val="single" w:sz="4" w:space="0" w:color="000000"/>
            </w:tcBorders>
            <w:vAlign w:val="center"/>
          </w:tcPr>
          <w:p>
            <w:pPr>
              <w:spacing w:line="36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不组织</w:t>
            </w:r>
          </w:p>
        </w:tc>
      </w:tr>
      <w:tr>
        <w:trPr>
          <w:trHeight w:val="645"/>
        </w:trPr>
        <w:tc>
          <w:tcPr>
            <w:tcW w:w="1364" w:type="dxa"/>
            <w:vAlign w:val="center"/>
          </w:tcPr>
          <w:p>
            <w:pPr>
              <w:spacing w:line="32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预备会</w:t>
            </w:r>
          </w:p>
        </w:tc>
        <w:tc>
          <w:tcPr>
            <w:tcW w:w="7695" w:type="dxa"/>
            <w:tcBorders>
              <w:left w:val="single" w:sz="4" w:space="0" w:color="000000"/>
            </w:tcBorders>
            <w:vAlign w:val="center"/>
          </w:tcPr>
          <w:p>
            <w:pPr>
              <w:spacing w:line="36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不召开</w:t>
            </w:r>
          </w:p>
        </w:tc>
      </w:tr>
      <w:tr>
        <w:trPr>
          <w:trHeight w:val="2097"/>
        </w:trPr>
        <w:tc>
          <w:tcPr>
            <w:tcW w:w="1364" w:type="dxa"/>
            <w:vAlign w:val="center"/>
          </w:tcPr>
          <w:p>
            <w:pPr>
              <w:adjustRightInd w:val="0"/>
              <w:snapToGrid w:val="0"/>
              <w:spacing w:line="36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比选文件递交时间、地点及比选文件份数</w:t>
            </w:r>
          </w:p>
        </w:tc>
        <w:tc>
          <w:tcPr>
            <w:tcW w:w="7695" w:type="dxa"/>
            <w:tcBorders>
              <w:left w:val="single" w:sz="4" w:space="0" w:color="000000"/>
            </w:tcBorders>
            <w:vAlign w:val="center"/>
          </w:tcPr>
          <w:p>
            <w:pPr>
              <w:adjustRightInd w:val="0"/>
              <w:snapToGrid w:val="0"/>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 xml:space="preserve">递交时间：2025年4月2日14时00分止。    </w:t>
            </w:r>
          </w:p>
          <w:p>
            <w:pPr>
              <w:adjustRightInd w:val="0"/>
              <w:snapToGrid w:val="0"/>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递交地点：重庆市南岸区天文街道金隅时代之星A座2205室。</w:t>
            </w:r>
          </w:p>
          <w:p>
            <w:pPr>
              <w:adjustRightInd w:val="0"/>
              <w:snapToGrid w:val="0"/>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比选时间：2025年4月2日14时10分。</w:t>
            </w:r>
            <w:bookmarkStart w:id="0" w:name="_GoBack"/>
            <w:bookmarkEnd w:id="0"/>
          </w:p>
          <w:p>
            <w:pPr>
              <w:adjustRightInd w:val="0"/>
              <w:snapToGrid w:val="0"/>
              <w:spacing w:line="36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 xml:space="preserve">    比选文件份数：正本1份，副本1份。</w:t>
            </w:r>
          </w:p>
        </w:tc>
      </w:tr>
      <w:tr>
        <w:trPr>
          <w:trHeight w:val="1117"/>
        </w:trPr>
        <w:tc>
          <w:tcPr>
            <w:tcW w:w="1364" w:type="dxa"/>
            <w:vAlign w:val="center"/>
          </w:tcPr>
          <w:p>
            <w:pPr>
              <w:adjustRightInd w:val="0"/>
              <w:snapToGrid w:val="0"/>
              <w:spacing w:line="36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限价及比选报价要求</w:t>
            </w:r>
          </w:p>
        </w:tc>
        <w:tc>
          <w:tcPr>
            <w:tcW w:w="7695" w:type="dxa"/>
            <w:tcBorders>
              <w:left w:val="single" w:sz="4" w:space="0" w:color="000000"/>
            </w:tcBorders>
            <w:vAlign w:val="center"/>
          </w:tcPr>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1．本次报价须为人民币报价，报价为竞选人对竞选文件所确定的各单项工作内容进行单价包干，报价包括但不限于：人员工资、社会保险费、福利费、加班费、咨询费、运输费、安全措施费、利润、税金、材料、机械等合同明示或暗示的所有一切风险、完成相应任务所发生的费用、责任和义务等一切应由乙方支付的费用。业主方除此外不支付其他费用。因比选人自身原因造成漏报、少报皆由中标人自行承担，业主方不再补偿。</w:t>
            </w:r>
          </w:p>
          <w:p>
            <w:pPr>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2．费用构成由竞选申请人根据本项目的实际情况与自身现实情况，并充分考虑不确定性因素可能导致的风险自行填报。若因竞选人原因造成的漏报、错报而导致本项目无法履行的，由竞选人负责，比选人不会承担任何费用。</w:t>
            </w:r>
          </w:p>
          <w:p>
            <w:pPr>
              <w:spacing w:line="360" w:lineRule="exact"/>
              <w:ind w:firstLineChars="200" w:firstLine="480"/>
              <w:rPr>
                <w:rFonts w:ascii="Times New Roman" w:eastAsia="方正仿宋_GBK" w:cs="Times New Roman" w:hAnsi="Times New Roman"/>
                <w:sz w:val="32"/>
                <w:szCs w:val="32"/>
              </w:rPr>
            </w:pPr>
            <w:r>
              <w:rPr>
                <w:rFonts w:ascii="Times New Roman" w:eastAsia="方正仿宋_GBK" w:cs="Times New Roman" w:hAnsi="Times New Roman"/>
                <w:sz w:val="24"/>
                <w:szCs w:val="24"/>
              </w:rPr>
              <w:t>3．本项目按《采购清单》里各类物资单价为单品类</w:t>
            </w:r>
            <w:r>
              <w:rPr>
                <w:rFonts w:ascii="Times New Roman" w:eastAsia="方正仿宋_GBK" w:cs="Times New Roman" w:hAnsi="Times New Roman"/>
                <w:sz w:val="28"/>
                <w:szCs w:val="28"/>
              </w:rPr>
              <w:t>单价最高限价</w:t>
            </w:r>
            <w:r>
              <w:rPr>
                <w:rFonts w:ascii="Times New Roman" w:eastAsia="方正仿宋_GBK" w:cs="Times New Roman" w:hAnsi="Times New Roman"/>
                <w:sz w:val="24"/>
                <w:szCs w:val="24"/>
              </w:rPr>
              <w:t>，按2年服务期，</w:t>
            </w:r>
            <w:r>
              <w:rPr>
                <w:rFonts w:ascii="Times New Roman" w:eastAsia="方正仿宋_GBK" w:cs="Times New Roman" w:hAnsi="Times New Roman"/>
                <w:sz w:val="28"/>
                <w:szCs w:val="28"/>
              </w:rPr>
              <w:t>总价限价为413081元整，</w:t>
            </w:r>
            <w:r>
              <w:rPr>
                <w:rFonts w:ascii="Times New Roman" w:eastAsia="方正仿宋_GBK" w:cs="Times New Roman" w:hAnsi="Times New Roman"/>
                <w:sz w:val="24"/>
                <w:szCs w:val="24"/>
              </w:rPr>
              <w:t>竞选人的竞选报价（单价和总价）均不得超过业主方公布的相应最高限价，否则，将被认定为废标。</w:t>
            </w:r>
          </w:p>
        </w:tc>
      </w:tr>
      <w:tr>
        <w:trPr>
          <w:trHeight w:val="90"/>
        </w:trPr>
        <w:tc>
          <w:tcPr>
            <w:tcW w:w="1364" w:type="dxa"/>
            <w:vAlign w:val="center"/>
          </w:tcPr>
          <w:p>
            <w:pPr>
              <w:adjustRightInd w:val="0"/>
              <w:snapToGrid w:val="0"/>
              <w:spacing w:line="36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费用支付方式</w:t>
            </w:r>
          </w:p>
        </w:tc>
        <w:tc>
          <w:tcPr>
            <w:tcW w:w="7695" w:type="dxa"/>
            <w:tcBorders>
              <w:left w:val="single" w:sz="4" w:space="0" w:color="000000"/>
            </w:tcBorders>
            <w:vAlign w:val="center"/>
          </w:tcPr>
          <w:p>
            <w:pPr>
              <w:adjustRightInd w:val="0"/>
              <w:snapToGrid w:val="0"/>
              <w:spacing w:line="360" w:lineRule="exact"/>
              <w:ind w:firstLineChars="200" w:firstLine="480"/>
              <w:rPr>
                <w:rFonts w:ascii="Times New Roman" w:eastAsia="方正仿宋_GBK" w:cs="Times New Roman" w:hAnsi="Times New Roman"/>
                <w:sz w:val="32"/>
                <w:szCs w:val="32"/>
              </w:rPr>
            </w:pPr>
            <w:r>
              <w:rPr>
                <w:rFonts w:ascii="Times New Roman" w:eastAsia="方正仿宋_GBK" w:cs="Times New Roman" w:hAnsi="Times New Roman"/>
                <w:sz w:val="24"/>
                <w:szCs w:val="24"/>
              </w:rPr>
              <w:t>本次服务所需物资数量为预计数，具体数量以实际需求为准。比选人可分批次购买，通过验收合格且开具增值税专用发票后，</w:t>
            </w:r>
            <w:r>
              <w:rPr>
                <w:rFonts w:ascii="Times New Roman" w:eastAsia="方正仿宋_GBK" w:cs="Times New Roman" w:hAnsi="Times New Roman"/>
                <w:sz w:val="24"/>
                <w:szCs w:val="24"/>
              </w:rPr>
              <w:t>于15个</w:t>
            </w:r>
            <w:r>
              <w:rPr>
                <w:rFonts w:ascii="Times New Roman" w:eastAsia="方正仿宋_GBK" w:cs="Times New Roman" w:hAnsi="Times New Roman"/>
                <w:sz w:val="24"/>
                <w:szCs w:val="24"/>
              </w:rPr>
              <w:t>工作日内一次性支付该批次购买物资费用。</w:t>
            </w:r>
          </w:p>
        </w:tc>
      </w:tr>
      <w:tr>
        <w:tc>
          <w:tcPr>
            <w:tcW w:w="1364" w:type="dxa"/>
            <w:vAlign w:val="center"/>
          </w:tcPr>
          <w:p>
            <w:pPr>
              <w:adjustRightInd w:val="0"/>
              <w:snapToGrid w:val="0"/>
              <w:spacing w:line="36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其他需告知竞选人的要求</w:t>
            </w:r>
          </w:p>
        </w:tc>
        <w:tc>
          <w:tcPr>
            <w:tcW w:w="7695" w:type="dxa"/>
            <w:tcBorders>
              <w:left w:val="single" w:sz="4" w:space="0" w:color="000000"/>
            </w:tcBorders>
            <w:vAlign w:val="center"/>
          </w:tcPr>
          <w:p>
            <w:pPr>
              <w:adjustRightInd w:val="0"/>
              <w:snapToGrid w:val="0"/>
              <w:spacing w:line="36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无</w:t>
            </w:r>
          </w:p>
        </w:tc>
      </w:tr>
      <w:tr>
        <w:tc>
          <w:tcPr>
            <w:tcW w:w="9060" w:type="dxa"/>
            <w:gridSpan w:val="2"/>
            <w:vAlign w:val="center"/>
          </w:tcPr>
          <w:p>
            <w:pPr>
              <w:adjustRightInd w:val="0"/>
              <w:snapToGrid w:val="0"/>
              <w:spacing w:line="36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三、评选、定选方式</w:t>
            </w:r>
          </w:p>
        </w:tc>
      </w:tr>
      <w:tr>
        <w:tc>
          <w:tcPr>
            <w:tcW w:w="9060" w:type="dxa"/>
            <w:gridSpan w:val="2"/>
            <w:vAlign w:val="center"/>
          </w:tcPr>
          <w:p>
            <w:pPr>
              <w:adjustRightInd w:val="0"/>
              <w:snapToGrid w:val="0"/>
              <w:spacing w:line="3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当众开封查验响应性文件，宣读报价书，委托代理人签字确认报价后离场，评选小组对比选文件进行评审，</w:t>
            </w:r>
            <w:r>
              <w:rPr>
                <w:rFonts w:ascii="Times New Roman" w:eastAsia="方正仿宋_GBK" w:cs="Times New Roman" w:hAnsi="Times New Roman"/>
                <w:color w:val="000000"/>
                <w:sz w:val="24"/>
                <w:szCs w:val="24"/>
              </w:rPr>
              <w:t>在满足比选文件邀请函要求的情况下，所有竞选人（报价高于最高限价的及资质业绩人员不符合要求的为废标，不参与评选）</w:t>
            </w:r>
            <w:r>
              <w:rPr>
                <w:rFonts w:ascii="Times New Roman" w:eastAsia="方正仿宋_GBK" w:cs="Times New Roman" w:hAnsi="Times New Roman"/>
                <w:sz w:val="24"/>
                <w:szCs w:val="24"/>
              </w:rPr>
              <w:t>的比选总报价中以报价最低的潜在比选单位为第一候选单位，对未中选情况不做解释</w:t>
            </w:r>
            <w:r>
              <w:rPr>
                <w:rFonts w:ascii="Times New Roman" w:eastAsia="方正仿宋_GBK" w:cs="Times New Roman" w:hAnsi="Times New Roman"/>
                <w:color w:val="C00000"/>
                <w:sz w:val="24"/>
                <w:szCs w:val="24"/>
              </w:rPr>
              <w:t>。</w:t>
            </w:r>
          </w:p>
        </w:tc>
      </w:tr>
      <w:tr>
        <w:tc>
          <w:tcPr>
            <w:tcW w:w="9060" w:type="dxa"/>
            <w:gridSpan w:val="2"/>
            <w:vAlign w:val="center"/>
          </w:tcPr>
          <w:p>
            <w:pPr>
              <w:adjustRightInd w:val="0"/>
              <w:snapToGrid w:val="0"/>
              <w:spacing w:line="36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四、比选文件组成及要求</w:t>
            </w:r>
          </w:p>
        </w:tc>
      </w:tr>
      <w:tr>
        <w:tc>
          <w:tcPr>
            <w:tcW w:w="9060" w:type="dxa"/>
            <w:gridSpan w:val="2"/>
            <w:vAlign w:val="center"/>
          </w:tcPr>
          <w:p>
            <w:pPr>
              <w:spacing w:line="400" w:lineRule="exact"/>
              <w:rPr>
                <w:rFonts w:ascii="Times New Roman" w:eastAsia="仿宋_GB2312" w:cs="Times New Roman" w:hAnsi="Times New Roman"/>
                <w:sz w:val="24"/>
                <w:szCs w:val="24"/>
              </w:rPr>
            </w:pPr>
            <w:r>
              <w:rPr>
                <w:rFonts w:ascii="Times New Roman" w:eastAsia="方正仿宋_GBK" w:cs="Times New Roman" w:hAnsi="Times New Roman"/>
                <w:color w:val="000000"/>
                <w:sz w:val="24"/>
                <w:szCs w:val="24"/>
              </w:rPr>
              <w:t xml:space="preserve"> 1.比选文件包括但不限于以下内容：</w:t>
            </w:r>
            <w:r>
              <w:rPr>
                <w:rFonts w:ascii="Times New Roman" w:eastAsia="仿宋_GB2312" w:cs="Times New Roman" w:hAnsi="Times New Roman"/>
                <w:sz w:val="24"/>
                <w:szCs w:val="24"/>
              </w:rPr>
              <w:t>★</w:t>
            </w:r>
            <w:r>
              <w:rPr>
                <w:rFonts w:ascii="Times New Roman" w:eastAsia="方正仿宋_GBK" w:cs="Times New Roman" w:hAnsi="Times New Roman"/>
                <w:color w:val="000000"/>
                <w:sz w:val="24"/>
                <w:szCs w:val="24"/>
              </w:rPr>
              <w:t>（1）比选函及报价清单；</w:t>
            </w:r>
            <w:r>
              <w:rPr>
                <w:rFonts w:ascii="Times New Roman" w:eastAsia="仿宋_GB2312" w:cs="Times New Roman" w:hAnsi="Times New Roman"/>
                <w:sz w:val="24"/>
                <w:szCs w:val="24"/>
              </w:rPr>
              <w:t>★</w:t>
            </w:r>
            <w:r>
              <w:rPr>
                <w:rFonts w:ascii="Times New Roman" w:eastAsia="方正仿宋_GBK" w:cs="Times New Roman" w:hAnsi="Times New Roman"/>
                <w:color w:val="000000"/>
                <w:sz w:val="24"/>
                <w:szCs w:val="24"/>
              </w:rPr>
              <w:t>（2）营业执照复印件；</w:t>
            </w:r>
            <w:r>
              <w:rPr>
                <w:rFonts w:ascii="Times New Roman" w:eastAsia="仿宋_GB2312" w:cs="Times New Roman" w:hAnsi="Times New Roman"/>
                <w:sz w:val="24"/>
                <w:szCs w:val="24"/>
              </w:rPr>
              <w:t>★</w:t>
            </w:r>
            <w:r>
              <w:rPr>
                <w:rFonts w:ascii="Times New Roman" w:eastAsia="方正仿宋_GBK" w:cs="Times New Roman" w:hAnsi="Times New Roman"/>
                <w:color w:val="000000"/>
                <w:sz w:val="24"/>
                <w:szCs w:val="24"/>
              </w:rPr>
              <w:t>（3）法定代表人或授权代理人身份证明及授权委托书；（4）公司业绩证明材料；（5）根据比选项目要求情况需要添加的其他资料。</w:t>
            </w:r>
          </w:p>
          <w:p>
            <w:pPr>
              <w:adjustRightInd w:val="0"/>
              <w:snapToGrid w:val="0"/>
              <w:spacing w:line="360" w:lineRule="exact"/>
              <w:rPr>
                <w:rFonts w:ascii="Times New Roman" w:eastAsia="方正仿宋_GBK" w:cs="Times New Roman" w:hAnsi="Times New Roman"/>
                <w:sz w:val="24"/>
                <w:szCs w:val="24"/>
              </w:rPr>
            </w:pPr>
            <w:r>
              <w:rPr>
                <w:rFonts w:ascii="Times New Roman" w:eastAsia="仿宋_GB2312" w:cs="Times New Roman" w:hAnsi="Times New Roman"/>
                <w:sz w:val="24"/>
                <w:szCs w:val="24"/>
              </w:rPr>
              <w:t>★</w:t>
            </w:r>
            <w:r>
              <w:rPr>
                <w:rFonts w:ascii="Times New Roman" w:eastAsia="方正仿宋_GBK" w:cs="Times New Roman" w:hAnsi="Times New Roman"/>
                <w:color w:val="000000"/>
                <w:sz w:val="24"/>
                <w:szCs w:val="24"/>
              </w:rPr>
              <w:t>2.要求提供的资料均需加盖鲜章，所有资料密封并在密封袋上写明单位名称并加盖公章。</w:t>
            </w:r>
          </w:p>
        </w:tc>
      </w:tr>
      <w:tr>
        <w:tc>
          <w:tcPr>
            <w:tcW w:w="9060" w:type="dxa"/>
            <w:gridSpan w:val="2"/>
            <w:vAlign w:val="center"/>
          </w:tcPr>
          <w:p>
            <w:pPr>
              <w:spacing w:line="360" w:lineRule="exact"/>
              <w:rPr>
                <w:rFonts w:ascii="Times New Roman" w:cs="Times New Roman" w:hAnsi="Times New Roman"/>
                <w:sz w:val="24"/>
              </w:rPr>
            </w:pPr>
            <w:r>
              <w:rPr>
                <w:rFonts w:ascii="Times New Roman" w:eastAsia="方正仿宋_GBK" w:cs="Times New Roman" w:hAnsi="Times New Roman"/>
                <w:sz w:val="24"/>
              </w:rPr>
              <w:t>五、否决比选条款</w:t>
            </w:r>
          </w:p>
        </w:tc>
      </w:tr>
      <w:tr>
        <w:trPr>
          <w:trHeight w:val="4236"/>
        </w:trPr>
        <w:tc>
          <w:tcPr>
            <w:tcW w:w="9060" w:type="dxa"/>
            <w:gridSpan w:val="2"/>
            <w:vAlign w:val="center"/>
          </w:tcPr>
          <w:p>
            <w:pPr>
              <w:spacing w:line="360" w:lineRule="exact"/>
              <w:ind w:left="0"/>
              <w:rPr>
                <w:rFonts w:ascii="Times New Roman" w:eastAsia="方正仿宋_GBK" w:cs="Times New Roman" w:hAnsi="Times New Roman"/>
                <w:sz w:val="24"/>
                <w:szCs w:val="24"/>
              </w:rPr>
            </w:pPr>
            <w:r>
              <w:rPr>
                <w:rFonts w:ascii="Times New Roman" w:eastAsia="方正仿宋_GBK" w:cs="Times New Roman" w:hAnsi="Times New Roman"/>
                <w:sz w:val="24"/>
                <w:szCs w:val="24"/>
              </w:rPr>
              <w:t>1.未在规定的时间内递交比选文件。</w:t>
            </w:r>
          </w:p>
          <w:p>
            <w:pPr>
              <w:spacing w:line="36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2.未按要求报价或超过最高限价的。</w:t>
            </w:r>
          </w:p>
          <w:p>
            <w:pPr>
              <w:spacing w:line="36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3.法定代表人或其委托代理人的签字（或盖章）不齐全，授权代表人身份证明不相符。</w:t>
            </w:r>
          </w:p>
          <w:p>
            <w:pPr>
              <w:spacing w:line="36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4.审查营业执照不符合文件上述要求。</w:t>
            </w:r>
          </w:p>
          <w:p>
            <w:pPr>
              <w:spacing w:line="36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5.业绩证明材料不符合文件上述要求，审查内容：合同时间、合同金额、业绩规模（提供合同复印件）。字迹不清晰或难以辨认视为不符合要求。</w:t>
            </w:r>
          </w:p>
          <w:p>
            <w:pPr>
              <w:spacing w:line="36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6.比选文件未按要求加盖公章。</w:t>
            </w:r>
          </w:p>
          <w:p>
            <w:pPr>
              <w:spacing w:line="360" w:lineRule="exact"/>
              <w:rPr>
                <w:rFonts w:ascii="Times New Roman" w:eastAsia="方正仿宋_GBK" w:cs="Times New Roman" w:hAnsi="Times New Roman"/>
                <w:sz w:val="24"/>
                <w:szCs w:val="24"/>
              </w:rPr>
            </w:pPr>
            <w:r>
              <w:rPr>
                <w:rFonts w:ascii="Times New Roman" w:eastAsia="方正仿宋_GBK" w:cs="Times New Roman" w:hAnsi="Times New Roman"/>
                <w:sz w:val="24"/>
                <w:szCs w:val="24"/>
              </w:rPr>
              <w:t>7.发现串通投标或弄虚作假或有其他违法行为的。</w:t>
            </w:r>
          </w:p>
          <w:p>
            <w:pPr>
              <w:spacing w:line="360" w:lineRule="exact"/>
              <w:rPr>
                <w:rFonts w:ascii="Times New Roman" w:eastAsia="方正仿宋_GBK" w:cs="Times New Roman" w:hAnsi="Times New Roman"/>
              </w:rPr>
            </w:pPr>
            <w:r>
              <w:rPr>
                <w:rFonts w:ascii="Times New Roman" w:eastAsia="方正仿宋_GBK" w:cs="Times New Roman" w:hAnsi="Times New Roman"/>
                <w:sz w:val="24"/>
                <w:szCs w:val="24"/>
              </w:rPr>
              <w:t>8.以及需提供其他资料不符合上述文件要求的。</w:t>
            </w:r>
          </w:p>
        </w:tc>
      </w:tr>
    </w:tbl>
    <w:p>
      <w:pPr>
        <w:pStyle w:val="15"/>
        <w:spacing w:line="560" w:lineRule="exact"/>
        <w:rPr>
          <w:rFonts w:eastAsia="宋体"/>
          <w:sz w:val="32"/>
          <w:szCs w:val="32"/>
        </w:rPr>
      </w:pPr>
    </w:p>
    <w:p>
      <w:pPr>
        <w:rPr>
          <w:rFonts w:ascii="Times New Roman" w:eastAsia="宋体" w:cs="Times New Roman" w:hAnsi="Times New Roman"/>
          <w:sz w:val="32"/>
          <w:szCs w:val="32"/>
        </w:rPr>
      </w:pPr>
      <w:r>
        <w:rPr>
          <w:rFonts w:ascii="Times New Roman" w:eastAsia="宋体" w:cs="Times New Roman" w:hAnsi="Times New Roman"/>
          <w:sz w:val="32"/>
          <w:szCs w:val="32"/>
        </w:rPr>
        <w:br w:type="page"/>
      </w:r>
      <w:r>
        <w:rPr>
          <w:rFonts w:ascii="Times New Roman" w:eastAsia="方正仿宋_GBK" w:cs="Times New Roman" w:hAnsi="Times New Roman"/>
          <w:sz w:val="24"/>
          <w:szCs w:val="24"/>
        </w:rPr>
        <w:t>采购清单、单价限价及总价限价表</w:t>
      </w:r>
    </w:p>
    <w:tbl>
      <w:tblPr>
        <w:jc w:val="center"/>
        <w:tblW w:w="1095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4A0" w:firstRow="1" w:lastRow="0" w:firstColumn="1" w:lastColumn="0" w:noHBand="0" w:noVBand="1"/>
      </w:tblPr>
      <w:tblGrid>
        <w:gridCol w:w="474"/>
        <w:gridCol w:w="1745"/>
        <w:gridCol w:w="3716"/>
        <w:gridCol w:w="597"/>
        <w:gridCol w:w="1097"/>
        <w:gridCol w:w="7"/>
        <w:gridCol w:w="1070"/>
        <w:gridCol w:w="7"/>
        <w:gridCol w:w="1255"/>
        <w:gridCol w:w="982"/>
      </w:tblGrid>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序号</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名称</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型号及规格</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单位</w:t>
            </w:r>
          </w:p>
        </w:tc>
        <w:tc>
          <w:tcPr>
            <w:tcW w:w="10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半年数量（预估）</w:t>
            </w:r>
          </w:p>
        </w:tc>
        <w:tc>
          <w:tcPr>
            <w:tcW w:w="107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单价限价（元）</w:t>
            </w:r>
          </w:p>
        </w:tc>
        <w:tc>
          <w:tcPr>
            <w:tcW w:w="1262"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半年总价（元）</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备注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一</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润滑油</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b/>
                <w:bCs/>
                <w:i w:val="0"/>
                <w:sz w:val="18"/>
                <w:szCs w:val="18"/>
              </w:rPr>
              <w:t>26,680.00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压滤机液压油 46#</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cs="Times New Roman" w:hAnsi="Times New Roman"/>
                <w:sz w:val="18"/>
                <w:szCs w:val="18"/>
              </w:rPr>
              <w:t>200L（1桶）</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L</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2500.00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10.00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25,000.00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齿轮润滑油</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cs="Times New Roman" w:hAnsi="Times New Roman"/>
                <w:sz w:val="18"/>
                <w:szCs w:val="18"/>
              </w:rPr>
              <w:t>220#，18L（1桶）</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桶</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4.00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420.00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1,680.00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二</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皮带机易损件清单</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cs="Times New Roman" w:hAnsi="Times New Roman"/>
                <w:sz w:val="18"/>
                <w:szCs w:val="18"/>
              </w:rPr>
              <w:t>B800型和B1000型</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b/>
                <w:bCs/>
                <w:i w:val="0"/>
                <w:sz w:val="18"/>
                <w:szCs w:val="18"/>
              </w:rPr>
              <w:t>25,283.80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托辊</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15.00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101.92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1,528.80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清扫器</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850.00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850.00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3</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输送带</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米</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75.00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299.00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22,425.00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4</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轴承</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4.00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120.00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480.00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三</w:t>
            </w:r>
          </w:p>
        </w:tc>
        <w:tc>
          <w:tcPr>
            <w:tcW w:w="1745" w:type="dxa"/>
            <w:tcBorders>
              <w:top w:val="single" w:sz="6" w:space="0" w:color="auto"/>
              <w:left w:val="nil"/>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阀门</w:t>
            </w:r>
          </w:p>
        </w:tc>
        <w:tc>
          <w:tcPr>
            <w:tcW w:w="3716" w:type="dxa"/>
            <w:tcBorders>
              <w:top w:val="single" w:sz="6" w:space="0" w:color="auto"/>
              <w:left w:val="nil"/>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nil"/>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104" w:type="dxa"/>
            <w:gridSpan w:val="2"/>
            <w:tcBorders>
              <w:top w:val="single" w:sz="6" w:space="0" w:color="auto"/>
              <w:left w:val="nil"/>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077" w:type="dxa"/>
            <w:gridSpan w:val="2"/>
            <w:tcBorders>
              <w:top w:val="single" w:sz="6" w:space="0" w:color="auto"/>
              <w:left w:val="nil"/>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b/>
                <w:bCs/>
                <w:i w:val="0"/>
                <w:sz w:val="18"/>
                <w:szCs w:val="18"/>
              </w:rPr>
              <w:t>2,654.86</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r>
      <w:tr>
        <w:trPr>
          <w:trHeight w:val="1892"/>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压力变送器</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eastAsia="等线" w:cs="Times New Roman" w:hAnsi="Times New Roman"/>
                <w:sz w:val="18"/>
                <w:szCs w:val="18"/>
              </w:rPr>
            </w:pPr>
            <w:r>
              <w:rPr>
                <w:rFonts w:ascii="Times New Roman" w:eastAsia="等线" w:cs="Times New Roman" w:hAnsi="Times New Roman"/>
                <w:sz w:val="18"/>
                <w:szCs w:val="18"/>
              </w:rPr>
              <w:t xml:space="preserve">无腔平膜压力变送器   SUP-P340-G2DK1A1G2NKWA02-BDXH2412   </w:t>
            </w:r>
          </w:p>
          <w:p>
            <w:pPr>
              <w:spacing w:beforeAutospacing="0" w:afterAutospacing="0" w:line="200" w:lineRule="exact"/>
              <w:jc w:val="center"/>
              <w:rPr>
                <w:rFonts w:ascii="Times New Roman" w:eastAsia="等线" w:cs="Times New Roman" w:hAnsi="Times New Roman"/>
                <w:sz w:val="18"/>
                <w:szCs w:val="18"/>
              </w:rPr>
            </w:pPr>
            <w:r>
              <w:rPr>
                <w:rFonts w:ascii="Times New Roman" w:eastAsia="等线" w:cs="Times New Roman" w:hAnsi="Times New Roman"/>
                <w:sz w:val="18"/>
                <w:szCs w:val="18"/>
              </w:rPr>
              <w:t>传感器类型:表压；测量范围:0-2.5MPa；准确度:0.5级；显示类型:有；输出及供电电源:二线制4-20mA；过程连接:G1/2螺纹；膜片及过程连接材质:17-4PH；电气接口、外壳材质及防护等级:赫斯曼接头，304SS，IP65；线缆长度:2m；</w:t>
            </w:r>
          </w:p>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品牌：美控</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2.00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1327.43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2,654.86</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398"/>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四</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振动筛易损件清单</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b/>
                <w:bCs/>
                <w:i w:val="0"/>
                <w:sz w:val="18"/>
                <w:szCs w:val="18"/>
              </w:rPr>
              <w:t>5,760.00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r>
      <w:tr>
        <w:trPr>
          <w:trHeight w:val="705"/>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优质轴承 22324/3624</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套</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5760.00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5,760.00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eastAsia="等线" w:cs="Times New Roman" w:hAnsi="Times New Roman"/>
                <w:sz w:val="18"/>
                <w:szCs w:val="18"/>
              </w:rPr>
            </w:pPr>
            <w:r>
              <w:rPr>
                <w:rFonts w:ascii="Times New Roman" w:eastAsia="等线" w:cs="Times New Roman" w:hAnsi="Times New Roman"/>
                <w:sz w:val="18"/>
                <w:szCs w:val="18"/>
              </w:rPr>
              <w:t>（一套含8个）</w:t>
            </w:r>
          </w:p>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21"/>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五</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脱水筛易损件清单</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b/>
                <w:bCs/>
                <w:i w:val="0"/>
                <w:sz w:val="18"/>
                <w:szCs w:val="18"/>
              </w:rPr>
              <w:t>5,760.00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r>
      <w:tr>
        <w:trPr>
          <w:trHeight w:val="705"/>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优质轴承 22320/C4</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套</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5760.00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5,760.00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（一套含8个）通用</w:t>
            </w:r>
          </w:p>
        </w:tc>
      </w:tr>
      <w:tr>
        <w:trPr>
          <w:trHeight w:val="33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六</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阀门</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rPr>
                <w:rFonts w:ascii="Times New Roman" w:eastAsia="方正仿宋_GBK"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b/>
                <w:bCs/>
                <w:i w:val="0"/>
                <w:sz w:val="18"/>
                <w:szCs w:val="18"/>
              </w:rPr>
              <w:t>37131.59</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曲绕橡胶软接头</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DN200-10C，10kg压力，法兰连接 （PN1.0）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4.00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430.00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1,720.00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曲绕橡胶软接头</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DN200-16C，法兰连接(PN1.6) </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2.00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637.00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1,274.00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3</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止回阀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H14W -20P,DN15 螺纹连接，PN2.0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2.00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63.00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126.00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4</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止回阀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H14W DN40 螺纹连接，PN1.0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185.00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185.00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5</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止回阀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H14W DN65 螺纹连接，PN1.0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559.00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559.00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6</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止回阀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H44H-16C DN50，法兰连接</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319.00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319.00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7</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止回阀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H44H-10C DN65，法兰连接</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632.00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632.00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8</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止回阀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H44H-16C DN80，法兰连接</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2.00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747.32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1,494.64</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9</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止回阀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H44H-10C DN150，法兰连接</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1647.75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1,647.75</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10</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止回阀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H44H-10C DN200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2481.77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2,481.77</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11</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止回阀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DH77X-10C DN200，对夹式</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1039.00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1,039.00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12</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电磁阀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2W800-80-AC220V，DN80，304,螺纹连接</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1038.00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1,038.00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13</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刀闸阀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PZ73H-10C DN200，对夹式</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2.00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1240.00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2,480.00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14</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刀闸阀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PZ73X-10C DN200，对夹式</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2.00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1855.00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3,710.00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15</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气动刀闸阀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PZ673H-10C DN200，对夹式</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1828.00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1,828.00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16</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气动球阀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Q641F-16C DN80，法兰连接</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2.00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1453.00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2,906.00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17</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V型气动球阀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QV647H-16C，DN150，法兰连接</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2940.00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2,940.00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18</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手动对夹蝶阀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D71X-10C DN80，对夹式</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195.00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195.00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19</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手动对夹蝶阀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D71X-10C,DN100，PN1.0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275.00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275.00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20</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手动对夹蝶阀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D71X-10C DN150，对夹式</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2.00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417.00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834.00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21</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Q11F DN15，螺纹连接，PN1.0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4.00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26.00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104.00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22</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Q11F-16P DN15，螺纹连接，PN2.0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3.00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46.00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138.00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23</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Q11F DN25，螺纹连接，PN1.0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186.00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186.00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24</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Q11F DN40，螺纹连接，PN1.0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260.00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260.00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25</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Q11F DN50，螺纹连接，PN1.0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8.00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267.00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2,136.00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26</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Q41F-10C DN50，法兰连接，PN1.0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2.00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313.00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626.00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27</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Q11F-16P DN65，螺纹连接，PN1.0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3.00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373.00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1,119.00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28</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Q41F-10C DN65，法兰连接，PN1.0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479.00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479.00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29</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Q41F-10C DN80，法兰连接，PN1.0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492.00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492.00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30</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Q41F-16C DN80，法兰连接，PN1.6</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2.00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553.00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1,106.00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31</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Q41F-10C DN100，法兰连接，PN1.0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660.00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660.00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1321"/>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32</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压力变送器</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eastAsia="等线" w:cs="Times New Roman" w:hAnsi="Times New Roman"/>
                <w:sz w:val="18"/>
                <w:szCs w:val="18"/>
              </w:rPr>
            </w:pPr>
            <w:r>
              <w:rPr>
                <w:rFonts w:ascii="Times New Roman" w:eastAsia="等线" w:cs="Times New Roman" w:hAnsi="Times New Roman"/>
                <w:sz w:val="18"/>
                <w:szCs w:val="18"/>
              </w:rPr>
              <w:t xml:space="preserve">SUP-P400-G2BKA1G2AW1-BDXH2412 </w:t>
            </w:r>
          </w:p>
          <w:p>
            <w:pPr>
              <w:spacing w:beforeAutospacing="0" w:afterAutospacing="0" w:line="200" w:lineRule="exact"/>
              <w:jc w:val="center"/>
              <w:rPr>
                <w:rFonts w:ascii="Times New Roman" w:eastAsia="等线" w:cs="Times New Roman" w:hAnsi="Times New Roman"/>
                <w:sz w:val="18"/>
                <w:szCs w:val="18"/>
              </w:rPr>
            </w:pPr>
            <w:r>
              <w:rPr>
                <w:rFonts w:ascii="Times New Roman" w:eastAsia="等线" w:cs="Times New Roman" w:hAnsi="Times New Roman"/>
                <w:sz w:val="18"/>
                <w:szCs w:val="18"/>
              </w:rPr>
              <w:t>传感器类型:表压；测量范围:0-1MPa；准确度:0.5级；输出及供电电源:二线制4-20mA；过程连接:G1/2外螺纹；膜片及过程连接材质:316LSS，304SS；电气接口、外壳材质及防护等级:M20×1.5缆塞，铝合金，IP65；</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1327.43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1,327.43</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1094"/>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33</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投入式液位计</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eastAsia="等线" w:cs="Times New Roman" w:hAnsi="Times New Roman"/>
                <w:sz w:val="18"/>
                <w:szCs w:val="18"/>
              </w:rPr>
            </w:pPr>
            <w:r>
              <w:rPr>
                <w:rFonts w:ascii="Times New Roman" w:eastAsia="等线" w:cs="Times New Roman" w:hAnsi="Times New Roman"/>
                <w:sz w:val="18"/>
                <w:szCs w:val="18"/>
              </w:rPr>
              <w:t xml:space="preserve">SUP-P260-B-05KA1M3105N900-BDXH2412   </w:t>
            </w:r>
          </w:p>
          <w:p>
            <w:pPr>
              <w:spacing w:beforeAutospacing="0" w:afterAutospacing="0" w:line="200" w:lineRule="exact"/>
              <w:jc w:val="center"/>
              <w:rPr>
                <w:rFonts w:ascii="Times New Roman" w:eastAsia="等线" w:cs="Times New Roman" w:hAnsi="Times New Roman"/>
                <w:sz w:val="18"/>
                <w:szCs w:val="18"/>
              </w:rPr>
            </w:pPr>
            <w:r>
              <w:rPr>
                <w:rFonts w:ascii="Times New Roman" w:eastAsia="等线" w:cs="Times New Roman" w:hAnsi="Times New Roman"/>
                <w:sz w:val="18"/>
                <w:szCs w:val="18"/>
              </w:rPr>
              <w:t>测量范围:5m；准确度:0.5级；输出及供电电源:二线制4-20mA；膜片材质:316LSS；探头材质及防护等级:304SS，IP68；线缆长度:5m；线缆护套材质:聚氯乙烯PVC；</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399.00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399.00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795"/>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34</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电极式液位计</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欧姆龙PS-4S,电极316L，电极长度（0.5m，1m，3m），配分离器、法兰。高中低液位信号输出</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356.00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356.00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35</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耐震压力表</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0-1Mpa，M20x1.5</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 xml:space="preserve">59.00 </w:t>
            </w: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sz w:val="18"/>
                <w:szCs w:val="18"/>
              </w:rPr>
              <w:t>59.00</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七</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半年合计</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104"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r>
              <w:rPr>
                <w:rFonts w:ascii="Times New Roman" w:eastAsia="方正仿宋_GBK" w:cs="Times New Roman" w:hAnsi="Times New Roman"/>
                <w:b/>
                <w:bCs/>
                <w:i w:val="0"/>
                <w:sz w:val="18"/>
                <w:szCs w:val="18"/>
              </w:rPr>
              <w:t>103270.25</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r>
      <w:tr>
        <w:trPr>
          <w:trHeight w:val="453"/>
        </w:trPr>
        <w:tc>
          <w:tcPr>
            <w:tcBorders>
              <w:top w:val="single" w:sz="6" w:space="0" w:color="auto"/>
              <w:left w:val="single" w:sz="6" w:space="0" w:color="auto"/>
              <w:bottom w:val="single" w:sz="6" w:space="0" w:color="auto"/>
              <w:right w:val="single" w:sz="6" w:space="0" w:color="auto"/>
              <w:tl2br w:val="nil"/>
              <w:tr2bl w:val="nil"/>
            </w:tcBorders>
            <w:noWrap/>
            <w:vAlign w:val="center"/>
          </w:tcPr>
          <w:p>
            <w:pPr>
              <w:spacing w:line="200" w:lineRule="exact"/>
              <w:jc w:val="center"/>
              <w:rPr>
                <w:rFonts w:ascii="Times New Roman" w:eastAsia="等线" w:cs="Times New Roman" w:hAnsi="Times New Roman"/>
                <w:b/>
                <w:bCs/>
                <w:i w:val="0"/>
                <w:sz w:val="18"/>
                <w:szCs w:val="18"/>
              </w:rPr>
            </w:pPr>
            <w:r>
              <w:rPr>
                <w:rFonts w:ascii="Times New Roman" w:eastAsia="等线" w:cs="Times New Roman" w:hAnsi="Times New Roman"/>
                <w:b/>
                <w:bCs/>
                <w:i w:val="0"/>
                <w:sz w:val="18"/>
                <w:szCs w:val="18"/>
              </w:rPr>
              <w:t>八</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00" w:lineRule="exact"/>
              <w:jc w:val="center"/>
              <w:rPr>
                <w:rFonts w:ascii="Times New Roman" w:eastAsia="等线" w:cs="Times New Roman" w:hAnsi="Times New Roman"/>
                <w:b/>
                <w:bCs/>
                <w:i w:val="0"/>
                <w:sz w:val="18"/>
                <w:szCs w:val="18"/>
              </w:rPr>
            </w:pPr>
            <w:r>
              <w:rPr>
                <w:rFonts w:ascii="Times New Roman" w:eastAsia="等线" w:cs="Times New Roman" w:hAnsi="Times New Roman"/>
                <w:b/>
                <w:bCs/>
                <w:i w:val="0"/>
                <w:sz w:val="18"/>
                <w:szCs w:val="18"/>
              </w:rPr>
              <w:t>两年合计</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00" w:lineRule="exact"/>
              <w:jc w:val="center"/>
              <w:rPr>
                <w:rFonts w:ascii="Times New Roman" w:cs="Times New Roman" w:hAnsi="Times New Roman"/>
                <w:sz w:val="18"/>
                <w:szCs w:val="18"/>
              </w:rPr>
            </w:pPr>
          </w:p>
        </w:tc>
        <w:tc>
          <w:tcPr>
            <w:tcBorders>
              <w:top w:val="single" w:sz="6" w:space="0" w:color="auto"/>
              <w:left w:val="single" w:sz="6" w:space="0" w:color="auto"/>
              <w:bottom w:val="single" w:sz="6" w:space="0" w:color="auto"/>
              <w:right w:val="single" w:sz="6" w:space="0" w:color="auto"/>
              <w:tl2br w:val="nil"/>
              <w:tr2bl w:val="nil"/>
            </w:tcBorders>
            <w:noWrap/>
            <w:vAlign w:val="center"/>
          </w:tcPr>
          <w:p>
            <w:pPr>
              <w:spacing w:line="200" w:lineRule="exact"/>
              <w:jc w:val="center"/>
              <w:rPr>
                <w:rFonts w:ascii="Times New Roman" w:cs="Times New Roman" w:hAnsi="Times New Roman"/>
                <w:sz w:val="18"/>
                <w:szCs w:val="18"/>
              </w:rPr>
            </w:pPr>
          </w:p>
        </w:tc>
        <w:tc>
          <w:tcPr>
            <w:tcW w:w="1104" w:type="dxa"/>
            <w:gridSpan w:val="2"/>
            <w:tcBorders>
              <w:top w:val="single" w:sz="6" w:space="0" w:color="auto"/>
              <w:left w:val="single" w:sz="6" w:space="0" w:color="auto"/>
              <w:bottom w:val="single" w:sz="6" w:space="0" w:color="auto"/>
              <w:right w:val="nil"/>
              <w:tl2br w:val="nil"/>
              <w:tr2bl w:val="nil"/>
            </w:tcBorders>
            <w:noWrap/>
            <w:vAlign w:val="center"/>
          </w:tcPr>
          <w:p>
            <w:pPr>
              <w:spacing w:line="200" w:lineRule="exact"/>
              <w:jc w:val="center"/>
              <w:rPr>
                <w:rFonts w:ascii="Times New Roman" w:cs="Times New Roman" w:hAnsi="Times New Roman"/>
                <w:sz w:val="18"/>
                <w:szCs w:val="18"/>
              </w:rPr>
            </w:pP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jc w:val="center"/>
              <w:rPr>
                <w:rFonts w:ascii="Times New Roman" w:eastAsia="方正仿宋_GBK" w:cs="Times New Roman" w:hAnsi="Times New Roman"/>
                <w:sz w:val="18"/>
                <w:szCs w:val="18"/>
              </w:rPr>
            </w:pPr>
          </w:p>
        </w:tc>
        <w:tc>
          <w:tcPr>
            <w:tcW w:w="12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Times New Roman" w:eastAsia="方正仿宋_GBK" w:cs="Times New Roman" w:hAnsi="Times New Roman"/>
                <w:b/>
                <w:bCs/>
                <w:i w:val="0"/>
                <w:sz w:val="18"/>
                <w:szCs w:val="18"/>
              </w:rPr>
            </w:pPr>
            <w:r>
              <w:rPr>
                <w:rFonts w:ascii="Times New Roman" w:eastAsia="方正仿宋_GBK" w:cs="Times New Roman" w:hAnsi="Times New Roman"/>
                <w:b/>
                <w:bCs/>
                <w:i w:val="0"/>
                <w:sz w:val="18"/>
                <w:szCs w:val="18"/>
              </w:rPr>
              <w:t>413081</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line="200" w:lineRule="exact"/>
              <w:jc w:val="center"/>
              <w:rPr>
                <w:rFonts w:ascii="Times New Roman" w:cs="Times New Roman" w:hAnsi="Times New Roman"/>
                <w:sz w:val="18"/>
                <w:szCs w:val="18"/>
              </w:rPr>
            </w:pPr>
          </w:p>
        </w:tc>
      </w:tr>
    </w:tbl>
    <w:p>
      <w:pPr>
        <w:rPr>
          <w:rFonts w:ascii="Times New Roman" w:eastAsia="方正小标宋_GBK" w:cs="Times New Roman" w:hAnsi="Times New Roman"/>
          <w:sz w:val="32"/>
          <w:szCs w:val="32"/>
        </w:rPr>
      </w:pPr>
      <w:r>
        <w:rPr>
          <w:rFonts w:ascii="Times New Roman" w:eastAsia="宋体" w:cs="Times New Roman" w:hAnsi="Times New Roman"/>
          <w:sz w:val="32"/>
          <w:szCs w:val="32"/>
        </w:rPr>
        <w:br w:type="page"/>
      </w:r>
      <w:r>
        <w:rPr>
          <w:rFonts w:ascii="Times New Roman" w:eastAsia="方正小标宋_GBK" w:cs="Times New Roman" w:hAnsi="Times New Roman"/>
          <w:sz w:val="32"/>
          <w:szCs w:val="32"/>
        </w:rPr>
        <w:t>比选文件格式</w:t>
      </w:r>
    </w:p>
    <w:p>
      <w:pPr>
        <w:jc w:val="center"/>
        <w:rPr>
          <w:rFonts w:ascii="Times New Roman" w:eastAsia="方正仿宋_GBK" w:cs="Times New Roman" w:hAnsi="Times New Roman"/>
          <w:sz w:val="28"/>
          <w:szCs w:val="28"/>
        </w:rPr>
      </w:pPr>
      <w:r>
        <w:rPr>
          <w:rFonts w:ascii="Times New Roman" w:eastAsia="仿宋_GB2312" w:cs="Times New Roman" w:hAnsi="Times New Roman"/>
          <w:sz w:val="28"/>
          <w:szCs w:val="28"/>
        </w:rPr>
        <w:t>★</w:t>
      </w:r>
      <w:r>
        <w:rPr>
          <w:rFonts w:ascii="Times New Roman" w:eastAsia="方正仿宋_GBK" w:cs="Times New Roman" w:hAnsi="Times New Roman"/>
          <w:sz w:val="28"/>
          <w:szCs w:val="28"/>
        </w:rPr>
        <w:t>格式一   比 选 函</w:t>
      </w:r>
    </w:p>
    <w:p>
      <w:pPr>
        <w:rPr>
          <w:rFonts w:ascii="Times New Roman" w:eastAsia="方正仿宋_GBK" w:cs="Times New Roman" w:hAnsi="Times New Roman"/>
          <w:sz w:val="28"/>
          <w:szCs w:val="28"/>
          <w:u w:val="single"/>
        </w:rPr>
      </w:pPr>
      <w:r>
        <w:rPr>
          <w:rFonts w:ascii="Times New Roman" w:eastAsia="方正仿宋_GBK" w:cs="Times New Roman" w:hAnsi="Times New Roman"/>
          <w:sz w:val="28"/>
          <w:szCs w:val="28"/>
          <w:u w:val="single"/>
        </w:rPr>
        <w:t xml:space="preserve">                           ：</w:t>
      </w:r>
    </w:p>
    <w:p>
      <w:pPr>
        <w:rPr>
          <w:rFonts w:ascii="Times New Roman" w:eastAsia="方正仿宋_GBK" w:cs="Times New Roman" w:hAnsi="Times New Roman"/>
          <w:sz w:val="28"/>
          <w:szCs w:val="28"/>
        </w:rPr>
      </w:pPr>
      <w:r>
        <w:rPr>
          <w:rFonts w:ascii="Times New Roman" w:eastAsia="方正仿宋_GBK" w:cs="Times New Roman" w:hAnsi="Times New Roman"/>
          <w:sz w:val="28"/>
          <w:szCs w:val="28"/>
        </w:rPr>
        <w:t xml:space="preserve">     根据贵方</w:t>
      </w:r>
      <w:r>
        <w:rPr>
          <w:rFonts w:ascii="Times New Roman" w:eastAsia="方正仿宋_GBK" w:cs="Times New Roman" w:hAnsi="Times New Roman"/>
          <w:sz w:val="28"/>
          <w:szCs w:val="28"/>
          <w:u w:val="single"/>
          <w:lang w:val="en-US" w:eastAsia="zh-CN"/>
        </w:rPr>
        <w:t xml:space="preserve">              </w:t>
      </w:r>
      <w:r>
        <w:rPr>
          <w:rFonts w:ascii="Times New Roman" w:eastAsia="方正仿宋_GBK" w:cs="Times New Roman" w:hAnsi="Times New Roman"/>
          <w:sz w:val="28"/>
          <w:szCs w:val="28"/>
          <w:u w:val="none"/>
        </w:rPr>
        <w:t>项</w:t>
      </w:r>
      <w:r>
        <w:rPr>
          <w:rFonts w:ascii="Times New Roman" w:eastAsia="方正仿宋_GBK" w:cs="Times New Roman" w:hAnsi="Times New Roman"/>
          <w:sz w:val="28"/>
          <w:szCs w:val="28"/>
        </w:rPr>
        <w:t>目的比选邀请函文件，本公司正式授权的下述签字人</w:t>
      </w:r>
      <w:r>
        <w:rPr>
          <w:rFonts w:ascii="Times New Roman" w:eastAsia="方正仿宋_GBK" w:cs="Times New Roman" w:hAnsi="Times New Roman"/>
          <w:sz w:val="28"/>
          <w:szCs w:val="28"/>
          <w:u w:val="single"/>
          <w:lang w:val="en-US" w:eastAsia="zh-CN"/>
        </w:rPr>
        <w:t xml:space="preserve">          </w:t>
      </w:r>
      <w:r>
        <w:rPr>
          <w:rFonts w:ascii="Times New Roman" w:eastAsia="方正仿宋_GBK" w:cs="Times New Roman" w:hAnsi="Times New Roman"/>
          <w:sz w:val="28"/>
          <w:szCs w:val="28"/>
        </w:rPr>
        <w:t>（姓名和职务）代表本公司</w:t>
      </w:r>
      <w:r>
        <w:rPr>
          <w:rFonts w:ascii="Times New Roman" w:eastAsia="方正仿宋_GBK" w:cs="Times New Roman" w:hAnsi="Times New Roman"/>
          <w:sz w:val="28"/>
          <w:szCs w:val="28"/>
          <w:u w:val="single"/>
          <w:lang w:val="en-US" w:eastAsia="zh-CN"/>
        </w:rPr>
        <w:t xml:space="preserve">        </w:t>
      </w:r>
      <w:r>
        <w:rPr>
          <w:rFonts w:ascii="Times New Roman" w:eastAsia="方正仿宋_GBK" w:cs="Times New Roman" w:hAnsi="Times New Roman"/>
          <w:sz w:val="28"/>
          <w:szCs w:val="28"/>
        </w:rPr>
        <w:t>（竞选人名称），提交本比选函。据此函，签字人兹宣布同意如下：</w:t>
      </w:r>
    </w:p>
    <w:p>
      <w:pPr>
        <w:ind w:firstLineChars="200" w:firstLine="560"/>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w:t>
      </w:r>
      <w:r>
        <w:rPr>
          <w:rFonts w:ascii="Times New Roman" w:eastAsia="方正仿宋_GBK" w:cs="Times New Roman" w:hAnsi="Times New Roman"/>
          <w:sz w:val="28"/>
          <w:szCs w:val="28"/>
          <w:lang w:val="en-US" w:eastAsia="zh-CN"/>
        </w:rPr>
        <w:t>1</w:t>
      </w:r>
      <w:r>
        <w:rPr>
          <w:rFonts w:ascii="Times New Roman" w:eastAsia="方正仿宋_GBK" w:cs="Times New Roman" w:hAnsi="Times New Roman"/>
          <w:sz w:val="28"/>
          <w:szCs w:val="28"/>
          <w:lang w:eastAsia="zh-CN"/>
        </w:rPr>
        <w:t>）</w:t>
      </w:r>
      <w:r>
        <w:rPr>
          <w:rFonts w:ascii="Times New Roman" w:eastAsia="方正仿宋_GBK" w:cs="Times New Roman" w:hAnsi="Times New Roman"/>
          <w:sz w:val="28"/>
          <w:szCs w:val="28"/>
        </w:rPr>
        <w:t xml:space="preserve"> 愿意接受比选文件中提出的支付方式与合同条款并按照总价</w:t>
      </w:r>
      <w:r>
        <w:rPr>
          <w:rFonts w:ascii="Times New Roman" w:eastAsia="方正仿宋_GBK" w:cs="Times New Roman" w:hAnsi="Times New Roman"/>
          <w:sz w:val="28"/>
          <w:szCs w:val="28"/>
          <w:u w:val="single"/>
          <w:lang w:val="en-US" w:eastAsia="zh-CN"/>
        </w:rPr>
        <w:t xml:space="preserve">     </w:t>
      </w:r>
      <w:r>
        <w:rPr>
          <w:rFonts w:ascii="Times New Roman" w:eastAsia="方正仿宋_GBK" w:cs="Times New Roman" w:hAnsi="Times New Roman"/>
          <w:sz w:val="28"/>
          <w:szCs w:val="28"/>
        </w:rPr>
        <w:t>元作为本项目报价。（所填报数字必须保留至小数点后</w:t>
      </w:r>
      <w:r>
        <w:rPr>
          <w:rFonts w:ascii="Times New Roman" w:eastAsia="方正仿宋_GBK" w:cs="Times New Roman" w:hAnsi="Times New Roman"/>
          <w:sz w:val="28"/>
          <w:szCs w:val="28"/>
          <w:lang w:val="en-US" w:eastAsia="zh-CN"/>
        </w:rPr>
        <w:t>2</w:t>
      </w:r>
      <w:r>
        <w:rPr>
          <w:rFonts w:ascii="Times New Roman" w:eastAsia="方正仿宋_GBK" w:cs="Times New Roman" w:hAnsi="Times New Roman"/>
          <w:sz w:val="28"/>
          <w:szCs w:val="28"/>
        </w:rPr>
        <w:t>位，小数点后</w:t>
      </w:r>
      <w:r>
        <w:rPr>
          <w:rFonts w:ascii="Times New Roman" w:eastAsia="方正仿宋_GBK" w:cs="Times New Roman" w:hAnsi="Times New Roman"/>
          <w:sz w:val="28"/>
          <w:szCs w:val="28"/>
          <w:lang w:val="en-US" w:eastAsia="zh-CN"/>
        </w:rPr>
        <w:t>不足2位的</w:t>
      </w:r>
      <w:r>
        <w:rPr>
          <w:rFonts w:ascii="Times New Roman" w:eastAsia="方正仿宋_GBK" w:cs="Times New Roman" w:hAnsi="Times New Roman"/>
          <w:sz w:val="28"/>
          <w:szCs w:val="28"/>
        </w:rPr>
        <w:t>填写0，</w:t>
      </w:r>
      <w:r>
        <w:rPr>
          <w:rFonts w:ascii="Times New Roman" w:eastAsia="方正仿宋_GBK" w:cs="Times New Roman" w:hAnsi="Times New Roman"/>
          <w:sz w:val="28"/>
          <w:szCs w:val="28"/>
          <w:lang w:val="en-US" w:eastAsia="zh-CN"/>
        </w:rPr>
        <w:t>小数点不作为否决条款</w:t>
      </w:r>
      <w:r>
        <w:rPr>
          <w:rFonts w:ascii="Times New Roman" w:eastAsia="方正仿宋_GBK" w:cs="Times New Roman" w:hAnsi="Times New Roman"/>
          <w:sz w:val="28"/>
          <w:szCs w:val="28"/>
        </w:rPr>
        <w:t>）</w:t>
      </w:r>
      <w:r>
        <w:rPr>
          <w:rFonts w:ascii="Times New Roman" w:eastAsia="方正仿宋_GBK" w:cs="Times New Roman" w:hAnsi="Times New Roman"/>
          <w:sz w:val="28"/>
          <w:szCs w:val="28"/>
          <w:lang w:eastAsia="zh-CN"/>
        </w:rPr>
        <w:t>。（各品类</w:t>
      </w:r>
      <w:r>
        <w:rPr>
          <w:rFonts w:ascii="Times New Roman" w:eastAsia="方正仿宋_GBK" w:cs="Times New Roman" w:hAnsi="Times New Roman"/>
          <w:sz w:val="28"/>
          <w:szCs w:val="28"/>
        </w:rPr>
        <w:t>单价用表格方式报价</w:t>
      </w:r>
      <w:r>
        <w:rPr>
          <w:rFonts w:ascii="Times New Roman" w:eastAsia="方正仿宋_GBK" w:cs="Times New Roman" w:hAnsi="Times New Roman"/>
          <w:sz w:val="28"/>
          <w:szCs w:val="28"/>
          <w:lang w:eastAsia="zh-CN"/>
        </w:rPr>
        <w:t>）。</w:t>
      </w:r>
    </w:p>
    <w:p>
      <w:pPr>
        <w:ind w:firstLineChars="200" w:firstLine="560"/>
        <w:rPr>
          <w:rFonts w:ascii="Times New Roman" w:eastAsia="方正仿宋_GBK" w:cs="Times New Roman" w:hAnsi="Times New Roman"/>
          <w:sz w:val="28"/>
          <w:szCs w:val="28"/>
          <w:lang w:eastAsia="zh-CN"/>
        </w:rPr>
      </w:pPr>
      <w:r>
        <w:rPr>
          <w:rFonts w:ascii="Times New Roman" w:eastAsia="方正仿宋_GBK" w:cs="Times New Roman" w:hAnsi="Times New Roman"/>
          <w:sz w:val="28"/>
          <w:szCs w:val="28"/>
          <w:lang w:eastAsia="zh-CN"/>
        </w:rPr>
        <w:t>（</w:t>
      </w:r>
      <w:r>
        <w:rPr>
          <w:rFonts w:ascii="Times New Roman" w:eastAsia="方正仿宋_GBK" w:cs="Times New Roman" w:hAnsi="Times New Roman"/>
          <w:sz w:val="28"/>
          <w:szCs w:val="28"/>
          <w:lang w:val="en-US" w:eastAsia="zh-CN"/>
        </w:rPr>
        <w:t>2</w:t>
      </w:r>
      <w:r>
        <w:rPr>
          <w:rFonts w:ascii="Times New Roman" w:eastAsia="方正仿宋_GBK" w:cs="Times New Roman" w:hAnsi="Times New Roman"/>
          <w:sz w:val="28"/>
          <w:szCs w:val="28"/>
          <w:lang w:eastAsia="zh-CN"/>
        </w:rPr>
        <w:t>）</w:t>
      </w:r>
      <w:r>
        <w:rPr>
          <w:rFonts w:ascii="Times New Roman" w:eastAsia="方正仿宋_GBK" w:cs="Times New Roman" w:hAnsi="Times New Roman"/>
          <w:sz w:val="28"/>
          <w:szCs w:val="28"/>
        </w:rPr>
        <w:t>我们已详细阅读了比选函全部内容，我们知道必须放弃提出含糊不清或误解的问题的权利。</w:t>
      </w:r>
    </w:p>
    <w:p>
      <w:pPr>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lang w:eastAsia="zh-CN"/>
        </w:rPr>
        <w:t>（</w:t>
      </w:r>
      <w:r>
        <w:rPr>
          <w:rFonts w:ascii="Times New Roman" w:eastAsia="方正仿宋_GBK" w:cs="Times New Roman" w:hAnsi="Times New Roman"/>
          <w:sz w:val="28"/>
          <w:szCs w:val="28"/>
          <w:lang w:val="en-US" w:eastAsia="zh-CN"/>
        </w:rPr>
        <w:t>3</w:t>
      </w:r>
      <w:r>
        <w:rPr>
          <w:rFonts w:ascii="Times New Roman" w:eastAsia="方正仿宋_GBK" w:cs="Times New Roman" w:hAnsi="Times New Roman"/>
          <w:sz w:val="28"/>
          <w:szCs w:val="28"/>
          <w:lang w:eastAsia="zh-CN"/>
        </w:rPr>
        <w:t>）</w:t>
      </w:r>
      <w:r>
        <w:rPr>
          <w:rFonts w:ascii="Times New Roman" w:eastAsia="方正仿宋_GBK" w:cs="Times New Roman" w:hAnsi="Times New Roman"/>
          <w:sz w:val="28"/>
          <w:szCs w:val="28"/>
        </w:rPr>
        <w:t>我们保证根据规定履行合同责任和义务</w:t>
      </w:r>
      <w:r>
        <w:rPr>
          <w:rFonts w:ascii="Times New Roman" w:eastAsia="方正仿宋_GBK" w:cs="Times New Roman" w:hAnsi="Times New Roman"/>
          <w:sz w:val="28"/>
          <w:szCs w:val="28"/>
          <w:lang w:eastAsia="zh-CN"/>
        </w:rPr>
        <w:t>，</w:t>
      </w:r>
      <w:r>
        <w:rPr>
          <w:rFonts w:ascii="Times New Roman" w:eastAsia="方正仿宋_GBK" w:cs="Times New Roman" w:hAnsi="Times New Roman"/>
          <w:sz w:val="28"/>
          <w:szCs w:val="28"/>
        </w:rPr>
        <w:t>不得要求变更我司所报</w:t>
      </w:r>
      <w:r>
        <w:rPr>
          <w:rFonts w:ascii="Times New Roman" w:eastAsia="方正仿宋_GBK" w:cs="Times New Roman" w:hAnsi="Times New Roman"/>
          <w:sz w:val="28"/>
          <w:szCs w:val="28"/>
          <w:lang w:eastAsia="zh-CN"/>
        </w:rPr>
        <w:t>金额</w:t>
      </w:r>
      <w:r>
        <w:rPr>
          <w:rFonts w:ascii="Times New Roman" w:eastAsia="方正仿宋_GBK" w:cs="Times New Roman" w:hAnsi="Times New Roman"/>
          <w:sz w:val="28"/>
          <w:szCs w:val="28"/>
        </w:rPr>
        <w:t>。</w:t>
      </w:r>
    </w:p>
    <w:p>
      <w:pPr>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lang w:eastAsia="zh-CN"/>
        </w:rPr>
        <w:t>（</w:t>
      </w:r>
      <w:r>
        <w:rPr>
          <w:rFonts w:ascii="Times New Roman" w:eastAsia="方正仿宋_GBK" w:cs="Times New Roman" w:hAnsi="Times New Roman"/>
          <w:sz w:val="28"/>
          <w:szCs w:val="28"/>
          <w:lang w:val="en-US" w:eastAsia="zh-CN"/>
        </w:rPr>
        <w:t>4</w:t>
      </w:r>
      <w:r>
        <w:rPr>
          <w:rFonts w:ascii="Times New Roman" w:eastAsia="方正仿宋_GBK" w:cs="Times New Roman" w:hAnsi="Times New Roman"/>
          <w:sz w:val="28"/>
          <w:szCs w:val="28"/>
          <w:lang w:eastAsia="zh-CN"/>
        </w:rPr>
        <w:t>）</w:t>
      </w:r>
      <w:r>
        <w:rPr>
          <w:rFonts w:ascii="Times New Roman" w:eastAsia="方正仿宋_GBK" w:cs="Times New Roman" w:hAnsi="Times New Roman"/>
          <w:sz w:val="28"/>
          <w:szCs w:val="28"/>
        </w:rPr>
        <w:t>本比选函自开启之日起至项目全部完成之内有效。</w:t>
      </w:r>
    </w:p>
    <w:p>
      <w:pPr>
        <w:ind w:left="0"/>
        <w:rPr>
          <w:rFonts w:ascii="Times New Roman" w:eastAsia="方正仿宋_GBK" w:cs="Times New Roman" w:hAnsi="Times New Roman"/>
          <w:sz w:val="28"/>
          <w:szCs w:val="28"/>
        </w:rPr>
      </w:pPr>
    </w:p>
    <w:p>
      <w:pPr>
        <w:rPr>
          <w:rFonts w:ascii="Times New Roman" w:eastAsia="方正仿宋_GBK" w:cs="Times New Roman" w:hAnsi="Times New Roman"/>
          <w:sz w:val="28"/>
          <w:szCs w:val="28"/>
        </w:rPr>
      </w:pPr>
      <w:r>
        <w:rPr>
          <w:rFonts w:ascii="Times New Roman" w:eastAsia="方正仿宋_GBK" w:cs="Times New Roman" w:hAnsi="Times New Roman"/>
          <w:sz w:val="28"/>
          <w:szCs w:val="28"/>
        </w:rPr>
        <w:t xml:space="preserve">报价人全称（公章）： </w:t>
      </w:r>
    </w:p>
    <w:p>
      <w:pPr>
        <w:rPr>
          <w:rFonts w:ascii="Times New Roman" w:eastAsia="方正仿宋_GBK" w:cs="Times New Roman" w:hAnsi="Times New Roman"/>
          <w:sz w:val="28"/>
          <w:szCs w:val="28"/>
        </w:rPr>
      </w:pPr>
      <w:r>
        <w:rPr>
          <w:rFonts w:ascii="Times New Roman" w:eastAsia="方正仿宋_GBK" w:cs="Times New Roman" w:hAnsi="Times New Roman"/>
          <w:sz w:val="28"/>
          <w:szCs w:val="28"/>
        </w:rPr>
        <w:t xml:space="preserve">通信地址：                              </w:t>
      </w:r>
    </w:p>
    <w:p>
      <w:pPr>
        <w:rPr>
          <w:rFonts w:ascii="Times New Roman" w:eastAsia="方正仿宋_GBK" w:cs="Times New Roman" w:hAnsi="Times New Roman"/>
          <w:sz w:val="28"/>
          <w:szCs w:val="28"/>
        </w:rPr>
      </w:pPr>
      <w:r>
        <w:rPr>
          <w:rFonts w:ascii="Times New Roman" w:eastAsia="方正仿宋_GBK" w:cs="Times New Roman" w:hAnsi="Times New Roman"/>
          <w:sz w:val="28"/>
          <w:szCs w:val="28"/>
        </w:rPr>
        <w:t>电话、传真：</w:t>
      </w:r>
    </w:p>
    <w:p>
      <w:pPr>
        <w:rPr>
          <w:rFonts w:ascii="Times New Roman" w:eastAsia="方正仿宋_GBK" w:cs="Times New Roman" w:hAnsi="Times New Roman"/>
          <w:sz w:val="28"/>
          <w:szCs w:val="28"/>
        </w:rPr>
      </w:pPr>
      <w:r>
        <w:rPr>
          <w:rFonts w:ascii="Times New Roman" w:eastAsia="方正仿宋_GBK" w:cs="Times New Roman" w:hAnsi="Times New Roman"/>
          <w:sz w:val="28"/>
          <w:szCs w:val="28"/>
        </w:rPr>
        <w:t xml:space="preserve">报价人法定代表人或授权代理人签字 </w:t>
      </w:r>
    </w:p>
    <w:p>
      <w:pPr>
        <w:rPr>
          <w:rFonts w:ascii="Times New Roman" w:eastAsia="方正仿宋_GBK" w:cs="Times New Roman" w:hAnsi="Times New Roman"/>
          <w:sz w:val="28"/>
          <w:szCs w:val="28"/>
        </w:rPr>
      </w:pPr>
      <w:r>
        <w:rPr>
          <w:rFonts w:ascii="Times New Roman" w:eastAsia="方正仿宋_GBK" w:cs="Times New Roman" w:hAnsi="Times New Roman"/>
          <w:sz w:val="28"/>
          <w:szCs w:val="28"/>
        </w:rPr>
        <w:t xml:space="preserve">日期： </w:t>
      </w:r>
    </w:p>
    <w:p>
      <w:pPr>
        <w:rPr>
          <w:rFonts w:ascii="Times New Roman" w:eastAsia="方正仿宋_GBK" w:cs="Times New Roman" w:hAnsi="Times New Roman"/>
          <w:sz w:val="28"/>
          <w:szCs w:val="28"/>
        </w:rPr>
      </w:pPr>
      <w:r>
        <w:rPr>
          <w:rFonts w:ascii="Times New Roman" w:eastAsia="方正仿宋_GBK" w:cs="Times New Roman" w:hAnsi="Times New Roman"/>
          <w:sz w:val="28"/>
          <w:szCs w:val="28"/>
        </w:rPr>
        <w:br w:type="page"/>
      </w:r>
    </w:p>
    <w:p>
      <w:pPr>
        <w:spacing w:line="600" w:lineRule="exact"/>
        <w:jc w:val="center"/>
        <w:rPr>
          <w:rFonts w:ascii="Times New Roman" w:eastAsia="方正仿宋_GBK" w:cs="Times New Roman" w:hAnsi="Times New Roman"/>
          <w:sz w:val="32"/>
          <w:szCs w:val="32"/>
        </w:rPr>
      </w:pPr>
      <w:r>
        <w:rPr>
          <w:rFonts w:ascii="Times New Roman" w:eastAsia="方正仿宋_GBK" w:cs="Times New Roman" w:hAnsi="Times New Roman"/>
          <w:sz w:val="32"/>
          <w:szCs w:val="32"/>
        </w:rPr>
        <w:t>格式二   报价清单</w:t>
      </w:r>
    </w:p>
    <w:p>
      <w:pPr>
        <w:pStyle w:val="15"/>
        <w:rPr>
          <w:rFonts w:eastAsia="方正仿宋_GBK"/>
          <w:sz w:val="32"/>
          <w:szCs w:val="32"/>
        </w:rPr>
      </w:pPr>
    </w:p>
    <w:tbl>
      <w:tblPr>
        <w:jc w:val="cent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600" w:firstRow="0" w:lastRow="0" w:firstColumn="0" w:lastColumn="0" w:noHBand="1" w:noVBand="1"/>
      </w:tblPr>
      <w:tblGrid>
        <w:gridCol w:w="711"/>
        <w:gridCol w:w="1423"/>
        <w:gridCol w:w="1541"/>
        <w:gridCol w:w="981"/>
        <w:gridCol w:w="1274"/>
        <w:gridCol w:w="1557"/>
        <w:gridCol w:w="1019"/>
      </w:tblGrid>
      <w:tr>
        <w:trPr>
          <w:trHeight w:val="1298"/>
        </w:trPr>
        <w:tc>
          <w:tcPr>
            <w:tcW w:w="711" w:type="dxa"/>
            <w:vAlign w:val="center"/>
          </w:tcPr>
          <w:p>
            <w:pPr>
              <w:keepNext w:val="0"/>
              <w:keepLines w:val="0"/>
              <w:pageBreakBefore w:val="0"/>
              <w:widowControl w:val="0"/>
              <w:kinsoku/>
              <w:wordWrap/>
              <w:overflowPunct/>
              <w:topLinePunct w:val="0"/>
              <w:autoSpaceDE/>
              <w:autoSpaceDN/>
              <w:adjustRightInd/>
              <w:snapToGrid/>
              <w:spacing w:line="40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序号</w:t>
            </w:r>
          </w:p>
        </w:tc>
        <w:tc>
          <w:tcPr>
            <w:tcW w:w="1423" w:type="dxa"/>
            <w:vAlign w:val="center"/>
          </w:tcPr>
          <w:p>
            <w:pPr>
              <w:keepNext w:val="0"/>
              <w:keepLines w:val="0"/>
              <w:pageBreakBefore w:val="0"/>
              <w:widowControl w:val="0"/>
              <w:kinsoku/>
              <w:wordWrap/>
              <w:overflowPunct/>
              <w:topLinePunct w:val="0"/>
              <w:autoSpaceDE/>
              <w:autoSpaceDN/>
              <w:adjustRightInd/>
              <w:snapToGrid/>
              <w:spacing w:line="40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名称</w:t>
            </w:r>
          </w:p>
        </w:tc>
        <w:tc>
          <w:tcPr>
            <w:tcW w:w="1541" w:type="dxa"/>
            <w:vAlign w:val="center"/>
          </w:tcPr>
          <w:p>
            <w:pPr>
              <w:keepNext w:val="0"/>
              <w:keepLines w:val="0"/>
              <w:pageBreakBefore w:val="0"/>
              <w:widowControl w:val="0"/>
              <w:kinsoku/>
              <w:wordWrap/>
              <w:overflowPunct/>
              <w:topLinePunct w:val="0"/>
              <w:autoSpaceDE/>
              <w:autoSpaceDN/>
              <w:adjustRightInd/>
              <w:snapToGrid/>
              <w:spacing w:line="40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lang w:val="en-US" w:eastAsia="zh-CN"/>
              </w:rPr>
              <w:t>型号及规模</w:t>
            </w:r>
          </w:p>
        </w:tc>
        <w:tc>
          <w:tcPr>
            <w:tcW w:w="981" w:type="dxa"/>
            <w:vAlign w:val="center"/>
          </w:tcPr>
          <w:p>
            <w:pPr>
              <w:keepNext w:val="0"/>
              <w:keepLines w:val="0"/>
              <w:pageBreakBefore w:val="0"/>
              <w:widowControl w:val="0"/>
              <w:kinsoku/>
              <w:wordWrap/>
              <w:overflowPunct/>
              <w:topLinePunct w:val="0"/>
              <w:autoSpaceDE/>
              <w:autoSpaceDN/>
              <w:adjustRightInd/>
              <w:snapToGrid/>
              <w:spacing w:line="40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单位</w:t>
            </w:r>
          </w:p>
        </w:tc>
        <w:tc>
          <w:tcPr>
            <w:tcW w:w="1274" w:type="dxa"/>
            <w:vAlign w:val="center"/>
          </w:tcPr>
          <w:p>
            <w:pPr>
              <w:keepNext w:val="0"/>
              <w:keepLines w:val="0"/>
              <w:pageBreakBefore w:val="0"/>
              <w:widowControl w:val="0"/>
              <w:kinsoku/>
              <w:wordWrap/>
              <w:overflowPunct/>
              <w:topLinePunct w:val="0"/>
              <w:autoSpaceDE/>
              <w:autoSpaceDN/>
              <w:adjustRightInd/>
              <w:snapToGrid/>
              <w:spacing w:line="40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单价（元）</w:t>
            </w:r>
          </w:p>
        </w:tc>
        <w:tc>
          <w:tcPr>
            <w:tcW w:w="1557" w:type="dxa"/>
            <w:vAlign w:val="center"/>
          </w:tcPr>
          <w:p>
            <w:pPr>
              <w:keepNext w:val="0"/>
              <w:keepLines w:val="0"/>
              <w:pageBreakBefore w:val="0"/>
              <w:widowControl w:val="0"/>
              <w:kinsoku/>
              <w:wordWrap/>
              <w:overflowPunct/>
              <w:topLinePunct w:val="0"/>
              <w:autoSpaceDE/>
              <w:autoSpaceDN/>
              <w:adjustRightInd/>
              <w:snapToGrid/>
              <w:spacing w:line="40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总价（元）</w:t>
            </w:r>
          </w:p>
        </w:tc>
        <w:tc>
          <w:tcPr>
            <w:tcW w:w="1019" w:type="dxa"/>
            <w:vAlign w:val="center"/>
          </w:tcPr>
          <w:p>
            <w:pPr>
              <w:keepNext w:val="0"/>
              <w:keepLines w:val="0"/>
              <w:pageBreakBefore w:val="0"/>
              <w:widowControl w:val="0"/>
              <w:kinsoku/>
              <w:wordWrap/>
              <w:overflowPunct/>
              <w:topLinePunct w:val="0"/>
              <w:autoSpaceDE/>
              <w:autoSpaceDN/>
              <w:adjustRightInd/>
              <w:snapToGrid/>
              <w:spacing w:line="40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备注</w:t>
            </w:r>
          </w:p>
        </w:tc>
      </w:tr>
      <w:tr>
        <w:trPr>
          <w:trHeight w:val="885"/>
        </w:trPr>
        <w:tc>
          <w:tcPr>
            <w:tcW w:w="711" w:type="dxa"/>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r>
              <w:rPr>
                <w:rFonts w:ascii="Times New Roman" w:eastAsia="方正仿宋_GBK" w:cs="Times New Roman" w:hAnsi="Times New Roman"/>
                <w:sz w:val="24"/>
                <w:szCs w:val="24"/>
              </w:rPr>
              <w:t>1</w:t>
            </w:r>
          </w:p>
        </w:tc>
        <w:tc>
          <w:tcPr>
            <w:tcW w:w="1423"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1541"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400" w:lineRule="exact"/>
              <w:jc w:val="center"/>
              <w:rPr>
                <w:rFonts w:ascii="Times New Roman" w:eastAsia="方正仿宋_GBK" w:cs="Times New Roman" w:hAnsi="Times New Roman"/>
                <w:bCs/>
                <w:color w:val="auto"/>
                <w:kern w:val="2"/>
                <w:sz w:val="24"/>
                <w:szCs w:val="24"/>
                <w:vertAlign w:val="baseline"/>
                <w:lang w:val="en-US" w:eastAsia="zh-CN" w:bidi="ar-SA"/>
                <w:highlight w:val="auto"/>
              </w:rPr>
            </w:pPr>
          </w:p>
        </w:tc>
        <w:tc>
          <w:tcPr>
            <w:tcW w:w="981"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1274"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1557"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1019"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r>
      <w:tr>
        <w:trPr>
          <w:trHeight w:val="970"/>
        </w:trPr>
        <w:tc>
          <w:tcPr>
            <w:tcW w:w="711" w:type="dxa"/>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lang w:val="en-US" w:eastAsia="zh-CN"/>
              </w:rPr>
            </w:pPr>
            <w:r>
              <w:rPr>
                <w:rFonts w:ascii="Times New Roman" w:eastAsia="方正仿宋_GBK" w:cs="Times New Roman" w:hAnsi="Times New Roman"/>
                <w:sz w:val="24"/>
                <w:szCs w:val="24"/>
                <w:lang w:val="en-US" w:eastAsia="zh-CN"/>
              </w:rPr>
              <w:t>2</w:t>
            </w:r>
          </w:p>
        </w:tc>
        <w:tc>
          <w:tcPr>
            <w:tcW w:w="1423"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1541"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400" w:lineRule="exact"/>
              <w:jc w:val="center"/>
              <w:rPr>
                <w:rFonts w:ascii="Times New Roman" w:eastAsia="方正仿宋_GBK" w:cs="Times New Roman" w:hAnsi="Times New Roman"/>
                <w:bCs/>
                <w:color w:val="auto"/>
                <w:sz w:val="24"/>
                <w:szCs w:val="24"/>
                <w:vertAlign w:val="baseline"/>
                <w:lang w:val="en-US" w:eastAsia="zh-CN"/>
                <w:highlight w:val="auto"/>
              </w:rPr>
            </w:pPr>
          </w:p>
        </w:tc>
        <w:tc>
          <w:tcPr>
            <w:tcW w:w="981"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1274"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1557"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1019"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r>
      <w:tr>
        <w:trPr>
          <w:trHeight w:val="970"/>
        </w:trPr>
        <w:tc>
          <w:tcPr>
            <w:tcW w:w="711" w:type="dxa"/>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lang w:eastAsia="zh-CN"/>
              </w:rPr>
            </w:pPr>
            <w:r>
              <w:rPr>
                <w:rFonts w:ascii="Times New Roman" w:eastAsia="方正仿宋_GBK" w:cs="Times New Roman" w:hAnsi="Times New Roman"/>
                <w:sz w:val="24"/>
                <w:szCs w:val="24"/>
                <w:lang w:val="en-US" w:eastAsia="zh-CN"/>
              </w:rPr>
              <w:t>3</w:t>
            </w:r>
          </w:p>
        </w:tc>
        <w:tc>
          <w:tcPr>
            <w:tcW w:w="1423"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1541"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400" w:lineRule="exact"/>
              <w:jc w:val="center"/>
              <w:rPr>
                <w:rFonts w:ascii="Times New Roman" w:eastAsia="方正仿宋_GBK" w:cs="Times New Roman" w:hAnsi="Times New Roman"/>
                <w:bCs/>
                <w:color w:val="auto"/>
                <w:kern w:val="2"/>
                <w:sz w:val="24"/>
                <w:szCs w:val="24"/>
                <w:vertAlign w:val="baseline"/>
                <w:lang w:val="en-US" w:eastAsia="zh-CN" w:bidi="ar-SA"/>
                <w:highlight w:val="auto"/>
              </w:rPr>
            </w:pPr>
          </w:p>
        </w:tc>
        <w:tc>
          <w:tcPr>
            <w:tcW w:w="981"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1274"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1557"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1019"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r>
      <w:tr>
        <w:trPr>
          <w:trHeight w:val="982"/>
        </w:trPr>
        <w:tc>
          <w:tcPr>
            <w:tcW w:w="711" w:type="dxa"/>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lang w:eastAsia="zh-CN"/>
              </w:rPr>
            </w:pPr>
            <w:r>
              <w:rPr>
                <w:rFonts w:ascii="Times New Roman" w:eastAsia="方正仿宋_GBK" w:cs="Times New Roman" w:hAnsi="Times New Roman"/>
                <w:sz w:val="24"/>
                <w:szCs w:val="24"/>
                <w:lang w:val="en-US" w:eastAsia="zh-CN"/>
              </w:rPr>
              <w:t>4</w:t>
            </w:r>
          </w:p>
        </w:tc>
        <w:tc>
          <w:tcPr>
            <w:tcW w:w="1423"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1541" w:type="dxa"/>
            <w:tcBorders>
              <w:left w:val="single" w:sz="4" w:space="0" w:color="auto"/>
            </w:tcBorders>
            <w:vAlign w:val="center"/>
          </w:tcPr>
          <w:p>
            <w:pPr>
              <w:keepNext w:val="0"/>
              <w:keepLines w:val="0"/>
              <w:pageBreakBefore w:val="0"/>
              <w:widowControl w:val="0"/>
              <w:kinsoku/>
              <w:wordWrap/>
              <w:overflowPunct/>
              <w:topLinePunct w:val="0"/>
              <w:autoSpaceDE/>
              <w:autoSpaceDN/>
              <w:adjustRightInd w:val="0"/>
              <w:snapToGrid w:val="0"/>
              <w:spacing w:line="400" w:lineRule="exact"/>
              <w:jc w:val="center"/>
              <w:rPr>
                <w:rFonts w:ascii="Times New Roman" w:eastAsia="方正仿宋_GBK" w:cs="Times New Roman" w:hAnsi="Times New Roman"/>
                <w:bCs/>
                <w:color w:val="auto"/>
                <w:kern w:val="2"/>
                <w:sz w:val="24"/>
                <w:szCs w:val="24"/>
                <w:vertAlign w:val="baseline"/>
                <w:lang w:val="en-US" w:eastAsia="zh-CN" w:bidi="ar-SA"/>
                <w:highlight w:val="auto"/>
              </w:rPr>
            </w:pPr>
          </w:p>
        </w:tc>
        <w:tc>
          <w:tcPr>
            <w:tcW w:w="981"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1274"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1557"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c>
          <w:tcPr>
            <w:tcW w:w="1019" w:type="dxa"/>
            <w:tcBorders>
              <w:left w:val="single" w:sz="4" w:space="0" w:color="auto"/>
            </w:tcBorders>
            <w:vAlign w:val="center"/>
          </w:tcPr>
          <w:p>
            <w:pPr>
              <w:keepNext w:val="0"/>
              <w:keepLines w:val="0"/>
              <w:pageBreakBefore w:val="0"/>
              <w:widowControl w:val="0"/>
              <w:kinsoku/>
              <w:wordWrap/>
              <w:overflowPunct/>
              <w:topLinePunct w:val="0"/>
              <w:autoSpaceDE/>
              <w:autoSpaceDN/>
              <w:adjustRightInd/>
              <w:spacing w:line="400" w:lineRule="exact"/>
              <w:jc w:val="center"/>
              <w:rPr>
                <w:rFonts w:ascii="Times New Roman" w:eastAsia="方正仿宋_GBK" w:cs="Times New Roman" w:hAnsi="Times New Roman"/>
                <w:sz w:val="24"/>
                <w:szCs w:val="24"/>
              </w:rPr>
            </w:pPr>
          </w:p>
        </w:tc>
      </w:tr>
    </w:tbl>
    <w:p>
      <w:pPr>
        <w:rPr>
          <w:rFonts w:ascii="Times New Roman" w:eastAsia="宋体" w:cs="Times New Roman" w:hAnsi="Times New Roman"/>
          <w:sz w:val="32"/>
          <w:szCs w:val="32"/>
        </w:rPr>
      </w:pPr>
    </w:p>
    <w:p>
      <w:pPr>
        <w:rPr>
          <w:rFonts w:ascii="Times New Roman" w:eastAsia="宋体" w:cs="Times New Roman" w:hAnsi="Times New Roman"/>
          <w:sz w:val="32"/>
          <w:szCs w:val="32"/>
        </w:rPr>
      </w:pPr>
      <w:r>
        <w:rPr>
          <w:rFonts w:ascii="Times New Roman" w:eastAsia="宋体" w:cs="Times New Roman" w:hAnsi="Times New Roman"/>
          <w:sz w:val="32"/>
          <w:szCs w:val="32"/>
        </w:rPr>
        <w:br w:type="page"/>
      </w:r>
    </w:p>
    <w:p>
      <w:pPr>
        <w:jc w:val="center"/>
        <w:rPr>
          <w:rFonts w:ascii="Times New Roman" w:eastAsia="方正仿宋_GBK" w:cs="Times New Roman" w:hAnsi="Times New Roman"/>
          <w:b/>
          <w:kern w:val="0"/>
          <w:sz w:val="24"/>
        </w:rPr>
      </w:pPr>
      <w:r>
        <w:rPr>
          <w:rFonts w:ascii="Times New Roman" w:eastAsia="仿宋_GB2312" w:cs="Times New Roman" w:hAnsi="Times New Roman"/>
          <w:sz w:val="28"/>
          <w:szCs w:val="28"/>
        </w:rPr>
        <w:t>★</w:t>
      </w:r>
      <w:r>
        <w:rPr>
          <w:rFonts w:ascii="Times New Roman" w:eastAsia="方正仿宋_GBK" w:cs="Times New Roman" w:hAnsi="Times New Roman"/>
          <w:sz w:val="28"/>
          <w:szCs w:val="28"/>
        </w:rPr>
        <w:t>格式三   法定代表人授权委托书</w:t>
      </w:r>
    </w:p>
    <w:p>
      <w:pPr>
        <w:widowControl/>
        <w:snapToGrid w:val="0"/>
        <w:spacing w:before="100" w:beforeAutospacing="1" w:after="100" w:afterAutospacing="1" w:line="360" w:lineRule="auto"/>
        <w:jc w:val="left"/>
        <w:textAlignment w:val="bottom"/>
        <w:rPr>
          <w:rFonts w:ascii="Times New Roman" w:eastAsia="方正仿宋_GBK" w:cs="Times New Roman" w:hAnsi="Times New Roman"/>
          <w:bCs/>
          <w:kern w:val="0"/>
          <w:sz w:val="28"/>
          <w:szCs w:val="28"/>
        </w:rPr>
      </w:pPr>
      <w:r>
        <w:rPr>
          <w:rFonts w:ascii="Times New Roman" w:eastAsia="方正仿宋_GBK" w:cs="Times New Roman" w:hAnsi="Times New Roman"/>
          <w:bCs/>
          <w:kern w:val="0"/>
          <w:sz w:val="28"/>
          <w:szCs w:val="28"/>
        </w:rPr>
        <w:t>     本授权书声明：注册于</w:t>
      </w:r>
      <w:r>
        <w:rPr>
          <w:rFonts w:ascii="Times New Roman" w:eastAsia="方正仿宋_GBK" w:cs="Times New Roman" w:hAnsi="Times New Roman"/>
          <w:bCs/>
          <w:kern w:val="0"/>
          <w:sz w:val="28"/>
          <w:szCs w:val="28"/>
          <w:u w:val="single"/>
        </w:rPr>
        <w:t>                       （注册地址）</w:t>
      </w:r>
      <w:r>
        <w:rPr>
          <w:rFonts w:ascii="Times New Roman" w:eastAsia="方正仿宋_GBK" w:cs="Times New Roman" w:hAnsi="Times New Roman"/>
          <w:bCs/>
          <w:kern w:val="0"/>
          <w:sz w:val="28"/>
          <w:szCs w:val="28"/>
        </w:rPr>
        <w:t>的</w:t>
      </w:r>
      <w:r>
        <w:rPr>
          <w:rFonts w:ascii="Times New Roman" w:eastAsia="方正仿宋_GBK" w:cs="Times New Roman" w:hAnsi="Times New Roman"/>
          <w:bCs/>
          <w:kern w:val="0"/>
          <w:sz w:val="28"/>
          <w:szCs w:val="28"/>
          <w:u w:val="single"/>
        </w:rPr>
        <w:t>                    （公司名称）</w:t>
      </w:r>
      <w:r>
        <w:rPr>
          <w:rFonts w:ascii="Times New Roman" w:eastAsia="方正仿宋_GBK" w:cs="Times New Roman" w:hAnsi="Times New Roman"/>
          <w:bCs/>
          <w:kern w:val="0"/>
          <w:sz w:val="28"/>
          <w:szCs w:val="28"/>
        </w:rPr>
        <w:t>公司的在下面签字的</w:t>
      </w:r>
      <w:r>
        <w:rPr>
          <w:rFonts w:ascii="Times New Roman" w:eastAsia="方正仿宋_GBK" w:cs="Times New Roman" w:hAnsi="Times New Roman"/>
          <w:bCs/>
          <w:kern w:val="0"/>
          <w:sz w:val="28"/>
          <w:szCs w:val="28"/>
          <w:u w:val="single"/>
        </w:rPr>
        <w:t xml:space="preserve">         </w:t>
      </w:r>
      <w:r>
        <w:rPr>
          <w:rFonts w:ascii="Times New Roman" w:eastAsia="方正仿宋_GBK" w:cs="Times New Roman" w:hAnsi="Times New Roman"/>
          <w:bCs/>
          <w:kern w:val="0"/>
          <w:sz w:val="28"/>
          <w:szCs w:val="28"/>
        </w:rPr>
        <w:t>（法定代表人姓名、职务）代表本公司授权在下面签字的</w:t>
      </w:r>
      <w:r>
        <w:rPr>
          <w:rFonts w:ascii="Times New Roman" w:eastAsia="方正仿宋_GBK" w:cs="Times New Roman" w:hAnsi="Times New Roman"/>
          <w:bCs/>
          <w:kern w:val="0"/>
          <w:sz w:val="28"/>
          <w:szCs w:val="28"/>
          <w:lang w:val="en-US" w:eastAsia="zh-CN"/>
        </w:rPr>
        <w:t xml:space="preserve"> </w:t>
      </w:r>
      <w:r>
        <w:rPr>
          <w:rFonts w:ascii="Times New Roman" w:eastAsia="方正仿宋_GBK" w:cs="Times New Roman" w:hAnsi="Times New Roman"/>
          <w:bCs/>
          <w:kern w:val="0"/>
          <w:sz w:val="28"/>
          <w:szCs w:val="28"/>
          <w:u w:val="single"/>
          <w:lang w:val="en-US" w:eastAsia="zh-CN"/>
        </w:rPr>
        <w:t xml:space="preserve">         </w:t>
      </w:r>
      <w:r>
        <w:rPr>
          <w:rFonts w:ascii="Times New Roman" w:eastAsia="方正仿宋_GBK" w:cs="Times New Roman" w:hAnsi="Times New Roman"/>
          <w:bCs/>
          <w:kern w:val="0"/>
          <w:sz w:val="28"/>
          <w:szCs w:val="28"/>
        </w:rPr>
        <w:t>（被授权人的姓名、职务）为本公司的合法代理人，就</w:t>
      </w:r>
      <w:r>
        <w:rPr>
          <w:rFonts w:ascii="Times New Roman" w:eastAsia="方正仿宋_GBK" w:cs="Times New Roman" w:hAnsi="Times New Roman"/>
          <w:sz w:val="30"/>
          <w:szCs w:val="30"/>
          <w:u w:val="single"/>
        </w:rPr>
        <w:t>高新区盾构渣集中处置项目处置设备通用部分易损件采购</w:t>
      </w:r>
      <w:r>
        <w:rPr>
          <w:rFonts w:ascii="Times New Roman" w:eastAsia="方正仿宋_GBK" w:cs="Times New Roman" w:hAnsi="Times New Roman"/>
          <w:bCs/>
          <w:kern w:val="0"/>
          <w:sz w:val="28"/>
          <w:szCs w:val="28"/>
        </w:rPr>
        <w:t>的报价以及合同的谈判、签约、执行、完成等全权负责，以本公司名义处理一切与之有关的事务。</w:t>
      </w:r>
    </w:p>
    <w:p>
      <w:pPr>
        <w:widowControl/>
        <w:snapToGrid w:val="0"/>
        <w:spacing w:before="100" w:beforeAutospacing="1" w:after="100" w:afterAutospacing="1" w:line="360" w:lineRule="auto"/>
        <w:ind w:firstLineChars="200" w:firstLine="560"/>
        <w:jc w:val="left"/>
        <w:textAlignment w:val="bottom"/>
        <w:rPr>
          <w:rFonts w:ascii="Times New Roman" w:eastAsia="方正仿宋_GBK" w:cs="Times New Roman" w:hAnsi="Times New Roman"/>
          <w:bCs/>
          <w:kern w:val="0"/>
          <w:sz w:val="28"/>
          <w:szCs w:val="28"/>
        </w:rPr>
      </w:pPr>
      <w:r>
        <w:rPr>
          <w:rFonts w:ascii="Times New Roman" w:eastAsia="方正仿宋_GBK" w:cs="Times New Roman" w:hAnsi="Times New Roman"/>
          <w:bCs/>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ascii="Times New Roman" w:eastAsia="方正仿宋_GBK" w:cs="Times New Roman" w:hAnsi="Times New Roman"/>
          <w:kern w:val="0"/>
          <w:sz w:val="28"/>
          <w:szCs w:val="28"/>
        </w:rPr>
      </w:pPr>
      <w:r>
        <w:rPr>
          <w:rFonts w:ascii="Times New Roman" w:eastAsia="方正仿宋_GBK" w:cs="Times New Roman" w:hAnsi="Times New Roman"/>
          <w:kern w:val="0"/>
          <w:sz w:val="28"/>
          <w:szCs w:val="28"/>
        </w:rPr>
        <w:t xml:space="preserve">报价单位名称（盖章）：          </w:t>
      </w:r>
    </w:p>
    <w:p>
      <w:pPr>
        <w:widowControl/>
        <w:snapToGrid w:val="0"/>
        <w:spacing w:before="100" w:beforeAutospacing="1" w:after="100" w:afterAutospacing="1" w:line="252" w:lineRule="atLeast"/>
        <w:jc w:val="left"/>
        <w:textAlignment w:val="bottom"/>
        <w:rPr>
          <w:rFonts w:ascii="Times New Roman" w:eastAsia="方正仿宋_GBK" w:cs="Times New Roman" w:hAnsi="Times New Roman"/>
          <w:kern w:val="0"/>
          <w:sz w:val="28"/>
          <w:szCs w:val="28"/>
        </w:rPr>
      </w:pPr>
      <w:r>
        <w:rPr>
          <w:rFonts w:ascii="Times New Roman" w:eastAsia="方正仿宋_GBK" w:cs="Times New Roman" w:hAnsi="Times New Roman"/>
          <w:kern w:val="0"/>
          <w:sz w:val="28"/>
          <w:szCs w:val="28"/>
        </w:rPr>
        <w:t>报价单位地址：</w:t>
      </w:r>
    </w:p>
    <w:p>
      <w:pPr>
        <w:widowControl/>
        <w:snapToGrid w:val="0"/>
        <w:spacing w:before="100" w:beforeAutospacing="1" w:after="100" w:afterAutospacing="1" w:line="252" w:lineRule="atLeast"/>
        <w:jc w:val="left"/>
        <w:textAlignment w:val="bottom"/>
        <w:rPr>
          <w:rFonts w:ascii="Times New Roman" w:eastAsia="方正仿宋_GBK" w:cs="Times New Roman" w:hAnsi="Times New Roman"/>
          <w:kern w:val="0"/>
          <w:sz w:val="28"/>
          <w:szCs w:val="28"/>
        </w:rPr>
      </w:pPr>
      <w:r>
        <w:rPr>
          <w:rFonts w:ascii="Times New Roman" w:eastAsia="方正仿宋_GBK" w:cs="Times New Roman" w:hAnsi="Times New Roman"/>
          <w:kern w:val="0"/>
          <w:sz w:val="28"/>
          <w:szCs w:val="28"/>
        </w:rPr>
        <w:t xml:space="preserve">授权人（法定代表人）签字：                     </w:t>
      </w:r>
    </w:p>
    <w:p>
      <w:pPr>
        <w:widowControl/>
        <w:snapToGrid w:val="0"/>
        <w:spacing w:before="100" w:beforeAutospacing="1" w:after="100" w:afterAutospacing="1" w:line="252" w:lineRule="atLeast"/>
        <w:jc w:val="left"/>
        <w:textAlignment w:val="bottom"/>
        <w:rPr>
          <w:rFonts w:ascii="Times New Roman" w:eastAsia="方正仿宋_GBK" w:cs="Times New Roman" w:hAnsi="Times New Roman"/>
          <w:bCs/>
          <w:kern w:val="0"/>
          <w:sz w:val="28"/>
          <w:szCs w:val="28"/>
        </w:rPr>
      </w:pPr>
      <w:r>
        <w:rPr>
          <w:rFonts w:ascii="Times New Roman" w:eastAsia="方正仿宋_GBK" w:cs="Times New Roman" w:hAnsi="Times New Roman"/>
          <w:kern w:val="0"/>
          <w:sz w:val="28"/>
          <w:szCs w:val="28"/>
        </w:rPr>
        <w:t>被授权人（代理人）签字：  </w:t>
      </w:r>
      <w:r>
        <w:rPr>
          <w:rFonts w:ascii="Times New Roman" w:eastAsia="方正仿宋_GBK" w:cs="Times New Roman" w:hAnsi="Times New Roman"/>
          <w:kern w:val="0"/>
          <w:sz w:val="32"/>
          <w:szCs w:val="32"/>
        </w:rPr>
        <w:t> </w:t>
      </w:r>
    </w:p>
    <w:p>
      <w:pPr>
        <w:rPr>
          <w:rFonts w:ascii="Times New Roman" w:eastAsia="宋体" w:cs="Times New Roman" w:hAnsi="Times New Roman"/>
          <w:sz w:val="32"/>
          <w:szCs w:val="32"/>
        </w:rPr>
      </w:pPr>
    </w:p>
    <w:p>
      <w:pPr>
        <w:pStyle w:val="15"/>
        <w:rPr>
          <w:rFonts w:eastAsia="宋体"/>
          <w:sz w:val="32"/>
          <w:szCs w:val="32"/>
        </w:rPr>
      </w:pPr>
      <w:r>
        <mc:AlternateContent>
          <mc:Choice Requires="wps">
            <w:drawing>
              <wp:anchor distT="0" distB="0" distL="114300" distR="114300" simplePos="0" relativeHeight="18" behindDoc="0" locked="0" layoutInCell="1" hidden="0" allowOverlap="1">
                <wp:simplePos x="0" y="0"/>
                <wp:positionH relativeFrom="column">
                  <wp:posOffset>2962275</wp:posOffset>
                </wp:positionH>
                <wp:positionV relativeFrom="paragraph">
                  <wp:posOffset>330428</wp:posOffset>
                </wp:positionV>
                <wp:extent cx="2971800" cy="2278378"/>
                <wp:effectExtent l="4444" t="4444" r="14604" b="22225"/>
                <wp:wrapNone/>
                <wp:docPr id="4099" name="文本框 4099"/>
                <wp:cNvGraphicFramePr>
                  <a:graphicFrameLocks noChangeAspect="0"/>
                </wp:cNvGraphicFramePr>
                <a:graphic>
                  <a:graphicData uri="http://schemas.microsoft.com/office/word/2010/wordprocessingShape">
                    <wps:wsp>
                      <wps:cNvSpPr/>
                      <wps:spPr>
                        <a:xfrm rot="0">
                          <a:off x="0" y="0"/>
                          <a:ext cx="2971800" cy="2278378"/>
                        </a:xfrm>
                        <a:prstGeom prst="rect"/>
                        <a:solidFill>
                          <a:srgbClr val="FFFFFF"/>
                        </a:solidFill>
                        <a:ln w="9525" cmpd="sng" cap="flat">
                          <a:solidFill>
                            <a:srgbClr val="000000"/>
                          </a:solidFill>
                          <a:prstDash val="solid"/>
                          <a:miter/>
                        </a:ln>
                      </wps:spPr>
                      <wps:txbx id="1">
                        <w:txbxContent>
                          <w:p>
                            <w:pPr>
                              <w:rPr>
                                <w:rFonts w:ascii="仿宋_GB2312" w:eastAsia="仿宋_GB2312" w:cs="仿宋_GB2312" w:hAnsi="仿宋_GB2312"/>
                              </w:rPr>
                            </w:pPr>
                            <w:r>
                              <w:rPr>
                                <w:rFonts w:ascii="仿宋_GB2312" w:eastAsia="仿宋_GB2312" w:cs="仿宋_GB2312" w:hAnsi="仿宋_GB2312" w:hint="eastAsia"/>
                              </w:rPr>
                              <w:t>被授权人身份证复印件</w:t>
                            </w:r>
                            <w:r>
                              <w:rPr>
                                <w:rFonts w:ascii="仿宋_GB2312" w:eastAsia="仿宋_GB2312" w:cs="仿宋_GB2312" w:hAnsi="仿宋_GB2312" w:hint="eastAsia"/>
                                <w:lang w:eastAsia="zh-CN"/>
                              </w:rPr>
                              <w:t>（</w:t>
                            </w:r>
                            <w:r>
                              <w:rPr>
                                <w:rFonts w:ascii="仿宋_GB2312" w:eastAsia="仿宋_GB2312" w:cs="仿宋_GB2312" w:hAnsi="仿宋_GB2312" w:hint="eastAsia"/>
                                <w:lang w:val="en-US" w:eastAsia="zh-CN"/>
                              </w:rPr>
                              <w:t>正反面</w:t>
                            </w:r>
                            <w:r>
                              <w:rPr>
                                <w:rFonts w:ascii="仿宋_GB2312" w:eastAsia="仿宋_GB2312" w:cs="仿宋_GB2312" w:hAnsi="仿宋_GB2312" w:hint="eastAsia"/>
                                <w:lang w:eastAsia="zh-CN"/>
                              </w:rPr>
                              <w:t>）</w:t>
                            </w:r>
                          </w:p>
                          <w:p/>
                        </w:txbxContent>
                      </wps:txbx>
                      <wps:bodyPr vert="horz" wrap="square" lIns="91440" tIns="45720" rIns="91440" bIns="45720" anchor="t" anchorCtr="0" upright="1">
                        <a:noAutofit/>
                      </wps:bodyPr>
                    </wps:wsp>
                  </a:graphicData>
                </a:graphic>
              </wp:anchor>
            </w:drawing>
          </mc:Choice>
          <mc:Fallback>
            <w:pict>
              <v:rect type="#_x0000_t1" id="文本框 4099" o:spid="_x0000_s2" fillcolor="#FFFFFF" stroked="t" style="position:absolute;margin-left:233.25pt;margin-top:26.017954pt;width:234.0pt;height:179.39984pt;z-index:18;mso-position-horizontal:absolute;mso-position-vertical:absolute;mso-wrap-style:square;">
                <v:stroke color="#000000"/>
                <v:textbox id="848" inset="2.54mm,1.27mm,2.54mm,1.27mm" o:insetmode="custom" style="layout-flow:horizontal;v-text-anchor:top;">
                  <w:txbxContent>
                    <w:p>
                      <w:pPr>
                        <w:rPr>
                          <w:rFonts w:ascii="仿宋_GB2312" w:eastAsia="仿宋_GB2312" w:cs="仿宋_GB2312" w:hAnsi="仿宋_GB2312"/>
                        </w:rPr>
                      </w:pPr>
                      <w:r>
                        <w:rPr>
                          <w:rFonts w:ascii="仿宋_GB2312" w:eastAsia="仿宋_GB2312" w:cs="仿宋_GB2312" w:hAnsi="仿宋_GB2312" w:hint="eastAsia"/>
                        </w:rPr>
                        <w:t>被授权人身份证复印件</w:t>
                      </w:r>
                      <w:r>
                        <w:rPr>
                          <w:rFonts w:ascii="仿宋_GB2312" w:eastAsia="仿宋_GB2312" w:cs="仿宋_GB2312" w:hAnsi="仿宋_GB2312" w:hint="eastAsia"/>
                          <w:lang w:eastAsia="zh-CN"/>
                        </w:rPr>
                        <w:t>（</w:t>
                      </w:r>
                      <w:r>
                        <w:rPr>
                          <w:rFonts w:ascii="仿宋_GB2312" w:eastAsia="仿宋_GB2312" w:cs="仿宋_GB2312" w:hAnsi="仿宋_GB2312" w:hint="eastAsia"/>
                          <w:lang w:val="en-US" w:eastAsia="zh-CN"/>
                        </w:rPr>
                        <w:t>正反面</w:t>
                      </w:r>
                      <w:r>
                        <w:rPr>
                          <w:rFonts w:ascii="仿宋_GB2312" w:eastAsia="仿宋_GB2312" w:cs="仿宋_GB2312" w:hAnsi="仿宋_GB2312" w:hint="eastAsia"/>
                          <w:lang w:eastAsia="zh-CN"/>
                        </w:rPr>
                        <w:t>）</w:t>
                      </w:r>
                    </w:p>
                    <w:p/>
                  </w:txbxContent>
                </v:textbox>
              </v:rect>
            </w:pict>
          </mc:Fallback>
        </mc:AlternateContent>
      </w:r>
      <w:r>
        <w:rPr>
          <w:rFonts w:eastAsia="宋体"/>
          <w:sz w:val="32"/>
          <w:szCs w:val="32"/>
        </w:rPr>
        <mc:AlternateContent>
          <mc:Choice Requires="wps">
            <w:drawing>
              <wp:anchor distT="0" distB="0" distL="114300" distR="114300" simplePos="0" relativeHeight="16" behindDoc="0" locked="0" layoutInCell="1" hidden="0" allowOverlap="1">
                <wp:simplePos x="0" y="0"/>
                <wp:positionH relativeFrom="column">
                  <wp:posOffset>-314325</wp:posOffset>
                </wp:positionH>
                <wp:positionV relativeFrom="paragraph">
                  <wp:posOffset>349478</wp:posOffset>
                </wp:positionV>
                <wp:extent cx="2857500" cy="2278378"/>
                <wp:effectExtent l="4444" t="5080" r="14604" b="21590"/>
                <wp:wrapNone/>
                <wp:docPr id="4098" name="文本框 4098"/>
                <wp:cNvGraphicFramePr>
                  <a:graphicFrameLocks noChangeAspect="0"/>
                </wp:cNvGraphicFramePr>
                <a:graphic>
                  <a:graphicData uri="http://schemas.microsoft.com/office/word/2010/wordprocessingShape">
                    <wps:wsp>
                      <wps:cNvSpPr/>
                      <wps:spPr>
                        <a:xfrm rot="0">
                          <a:off x="0" y="0"/>
                          <a:ext cx="2857500" cy="2278378"/>
                        </a:xfrm>
                        <a:prstGeom prst="rect"/>
                        <a:solidFill>
                          <a:srgbClr val="FFFFFF"/>
                        </a:solidFill>
                        <a:ln w="9525" cmpd="sng" cap="flat">
                          <a:solidFill>
                            <a:srgbClr val="000000"/>
                          </a:solidFill>
                          <a:prstDash val="solid"/>
                          <a:miter/>
                        </a:ln>
                      </wps:spPr>
                      <wps:txbx id="3">
                        <w:txbxContent>
                          <w:p>
                            <w:pPr>
                              <w:rPr>
                                <w:rFonts w:ascii="仿宋_GB2312" w:eastAsia="仿宋_GB2312" w:cs="仿宋_GB2312" w:hAnsi="仿宋_GB2312" w:hint="eastAsia"/>
                                <w:lang w:eastAsia="zh-CN"/>
                              </w:rPr>
                            </w:pPr>
                            <w:r>
                              <w:rPr>
                                <w:rFonts w:ascii="仿宋_GB2312" w:eastAsia="仿宋_GB2312" w:cs="仿宋_GB2312" w:hAnsi="仿宋_GB2312" w:hint="eastAsia"/>
                              </w:rPr>
                              <w:t>授权人身份证复印件</w:t>
                            </w:r>
                            <w:r>
                              <w:rPr>
                                <w:rFonts w:ascii="仿宋_GB2312" w:eastAsia="仿宋_GB2312" w:cs="仿宋_GB2312" w:hAnsi="仿宋_GB2312" w:hint="eastAsia"/>
                                <w:lang w:eastAsia="zh-CN"/>
                              </w:rPr>
                              <w:t>（</w:t>
                            </w:r>
                            <w:r>
                              <w:rPr>
                                <w:rFonts w:ascii="仿宋_GB2312" w:eastAsia="仿宋_GB2312" w:cs="仿宋_GB2312" w:hAnsi="仿宋_GB2312" w:hint="eastAsia"/>
                                <w:lang w:val="en-US" w:eastAsia="zh-CN"/>
                              </w:rPr>
                              <w:t>正反面</w:t>
                            </w:r>
                            <w:r>
                              <w:rPr>
                                <w:rFonts w:ascii="仿宋_GB2312" w:eastAsia="仿宋_GB2312" w:cs="仿宋_GB2312" w:hAnsi="仿宋_GB2312" w:hint="eastAsia"/>
                                <w:lang w:eastAsia="zh-CN"/>
                              </w:rPr>
                              <w:t>）</w:t>
                            </w:r>
                          </w:p>
                        </w:txbxContent>
                      </wps:txbx>
                      <wps:bodyPr vert="horz" wrap="square" lIns="91440" tIns="45720" rIns="91440" bIns="45720" anchor="t" anchorCtr="0" upright="1">
                        <a:noAutofit/>
                      </wps:bodyPr>
                    </wps:wsp>
                  </a:graphicData>
                </a:graphic>
              </wp:anchor>
            </w:drawing>
          </mc:Choice>
          <mc:Fallback>
            <w:pict>
              <v:rect type="#_x0000_t1" id="文本框 4098" o:spid="_x0000_s4" fillcolor="#FFFFFF" stroked="t" style="position:absolute;margin-left:-24.75pt;margin-top:27.517954pt;width:225.0pt;height:179.39984pt;z-index:16;mso-position-horizontal:absolute;mso-position-vertical:absolute;mso-wrap-style:square;">
                <v:stroke color="#000000"/>
                <v:textbox id="849" inset="2.54mm,1.27mm,2.54mm,1.27mm" o:insetmode="custom" style="layout-flow:horizontal;v-text-anchor:top;">
                  <w:txbxContent>
                    <w:p>
                      <w:pPr>
                        <w:rPr>
                          <w:rFonts w:ascii="仿宋_GB2312" w:eastAsia="仿宋_GB2312" w:cs="仿宋_GB2312" w:hAnsi="仿宋_GB2312" w:hint="eastAsia"/>
                          <w:lang w:eastAsia="zh-CN"/>
                        </w:rPr>
                      </w:pPr>
                      <w:r>
                        <w:rPr>
                          <w:rFonts w:ascii="仿宋_GB2312" w:eastAsia="仿宋_GB2312" w:cs="仿宋_GB2312" w:hAnsi="仿宋_GB2312" w:hint="eastAsia"/>
                        </w:rPr>
                        <w:t>授权人身份证复印件</w:t>
                      </w:r>
                      <w:r>
                        <w:rPr>
                          <w:rFonts w:ascii="仿宋_GB2312" w:eastAsia="仿宋_GB2312" w:cs="仿宋_GB2312" w:hAnsi="仿宋_GB2312" w:hint="eastAsia"/>
                          <w:lang w:eastAsia="zh-CN"/>
                        </w:rPr>
                        <w:t>（</w:t>
                      </w:r>
                      <w:r>
                        <w:rPr>
                          <w:rFonts w:ascii="仿宋_GB2312" w:eastAsia="仿宋_GB2312" w:cs="仿宋_GB2312" w:hAnsi="仿宋_GB2312" w:hint="eastAsia"/>
                          <w:lang w:val="en-US" w:eastAsia="zh-CN"/>
                        </w:rPr>
                        <w:t>正反面</w:t>
                      </w:r>
                      <w:r>
                        <w:rPr>
                          <w:rFonts w:ascii="仿宋_GB2312" w:eastAsia="仿宋_GB2312" w:cs="仿宋_GB2312" w:hAnsi="仿宋_GB2312" w:hint="eastAsia"/>
                          <w:lang w:eastAsia="zh-CN"/>
                        </w:rPr>
                        <w:t>）</w:t>
                      </w:r>
                    </w:p>
                  </w:txbxContent>
                </v:textbox>
              </v:rect>
            </w:pict>
          </mc:Fallback>
        </mc:AlternateContent>
      </w:r>
    </w:p>
    <w:p>
      <w:pPr>
        <w:pStyle w:val="15"/>
        <w:rPr>
          <w:rFonts w:eastAsia="宋体"/>
          <w:sz w:val="32"/>
          <w:szCs w:val="32"/>
        </w:rPr>
      </w:pPr>
    </w:p>
    <w:p>
      <w:pPr>
        <w:pStyle w:val="15"/>
        <w:rPr>
          <w:rFonts w:eastAsia="宋体"/>
          <w:sz w:val="32"/>
          <w:szCs w:val="32"/>
        </w:rPr>
      </w:pPr>
    </w:p>
    <w:p>
      <w:pPr>
        <w:pStyle w:val="15"/>
        <w:rPr>
          <w:rFonts w:eastAsia="宋体"/>
          <w:sz w:val="32"/>
          <w:szCs w:val="32"/>
        </w:rPr>
      </w:pPr>
    </w:p>
    <w:p>
      <w:pPr>
        <w:pStyle w:val="15"/>
        <w:rPr>
          <w:rFonts w:eastAsia="宋体"/>
          <w:sz w:val="32"/>
          <w:szCs w:val="32"/>
        </w:rPr>
      </w:pPr>
    </w:p>
    <w:p>
      <w:pPr>
        <w:pStyle w:val="15"/>
        <w:rPr>
          <w:rFonts w:eastAsia="宋体"/>
          <w:sz w:val="32"/>
          <w:szCs w:val="32"/>
        </w:rPr>
      </w:pPr>
    </w:p>
    <w:p>
      <w:pPr>
        <w:pStyle w:val="15"/>
        <w:rPr>
          <w:rFonts w:eastAsia="宋体"/>
          <w:sz w:val="32"/>
          <w:szCs w:val="32"/>
        </w:rPr>
      </w:pPr>
    </w:p>
    <w:p>
      <w:pPr>
        <w:widowControl/>
        <w:spacing w:before="100" w:beforeAutospacing="1" w:after="100" w:afterAutospacing="1" w:line="252" w:lineRule="atLeast"/>
        <w:jc w:val="center"/>
        <w:rPr>
          <w:rFonts w:ascii="Times New Roman" w:eastAsia="方正仿宋_GBK" w:cs="Times New Roman" w:hAnsi="Times New Roman"/>
          <w:bCs/>
          <w:kern w:val="0"/>
          <w:sz w:val="28"/>
          <w:szCs w:val="28"/>
        </w:rPr>
      </w:pPr>
    </w:p>
    <w:p>
      <w:pPr>
        <w:widowControl/>
        <w:spacing w:before="100" w:beforeAutospacing="1" w:after="100" w:afterAutospacing="1" w:line="252" w:lineRule="atLeast"/>
        <w:jc w:val="center"/>
        <w:rPr>
          <w:rFonts w:ascii="Times New Roman" w:eastAsia="方正仿宋_GBK" w:cs="Times New Roman" w:hAnsi="Times New Roman"/>
          <w:bCs/>
          <w:kern w:val="0"/>
          <w:sz w:val="28"/>
          <w:szCs w:val="28"/>
        </w:rPr>
      </w:pPr>
      <w:r>
        <w:rPr>
          <w:rFonts w:ascii="Times New Roman" w:eastAsia="方正仿宋_GBK" w:cs="Times New Roman" w:hAnsi="Times New Roman"/>
          <w:bCs/>
          <w:kern w:val="0"/>
          <w:sz w:val="28"/>
          <w:szCs w:val="28"/>
        </w:rPr>
        <w:t>格式四  业绩证明材料</w:t>
      </w:r>
    </w:p>
    <w:tbl>
      <w:tblPr>
        <w:jc w:val="left"/>
        <w:tblInd w:w="0" w:type="dxa"/>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696"/>
        <w:gridCol w:w="6826"/>
      </w:tblGrid>
      <w:tr>
        <w:trPr>
          <w:trHeight w:val="850"/>
        </w:trPr>
        <w:tc>
          <w:tcPr>
            <w:tcW w:w="1696" w:type="dxa"/>
            <w:shd w:val="clear" w:color="auto" w:fill="auto"/>
            <w:vAlign w:val="center"/>
          </w:tcPr>
          <w:p>
            <w:pPr>
              <w:widowControl/>
              <w:jc w:val="center"/>
              <w:rPr>
                <w:rFonts w:ascii="Times New Roman" w:eastAsia="方正仿宋_GBK" w:cs="Times New Roman" w:hAnsi="Times New Roman"/>
                <w:color w:val="000000"/>
                <w:kern w:val="0"/>
                <w:sz w:val="24"/>
                <w:szCs w:val="24"/>
              </w:rPr>
            </w:pPr>
            <w:r>
              <w:rPr>
                <w:rFonts w:ascii="Times New Roman" w:eastAsia="方正仿宋_GBK" w:cs="Times New Roman" w:hAnsi="Times New Roman"/>
                <w:color w:val="000000"/>
                <w:kern w:val="0"/>
                <w:sz w:val="24"/>
                <w:szCs w:val="24"/>
              </w:rPr>
              <w:t>项目名称</w:t>
            </w:r>
          </w:p>
        </w:tc>
        <w:tc>
          <w:tcPr>
            <w:tcW w:w="6826" w:type="dxa"/>
            <w:shd w:val="clear" w:color="auto" w:fill="auto"/>
            <w:vAlign w:val="center"/>
          </w:tcPr>
          <w:p>
            <w:pPr>
              <w:widowControl/>
              <w:ind w:firstLine="560"/>
              <w:jc w:val="center"/>
              <w:rPr>
                <w:rFonts w:ascii="Times New Roman" w:eastAsia="方正仿宋_GBK" w:cs="Times New Roman" w:hAnsi="Times New Roman"/>
                <w:color w:val="000000"/>
                <w:kern w:val="0"/>
                <w:sz w:val="24"/>
                <w:szCs w:val="24"/>
              </w:rPr>
            </w:pPr>
          </w:p>
        </w:tc>
      </w:tr>
      <w:tr>
        <w:trPr>
          <w:trHeight w:val="850"/>
        </w:trPr>
        <w:tc>
          <w:tcPr>
            <w:tcW w:w="1696" w:type="dxa"/>
            <w:shd w:val="clear" w:color="auto" w:fill="auto"/>
            <w:vAlign w:val="center"/>
          </w:tcPr>
          <w:p>
            <w:pPr>
              <w:widowControl/>
              <w:jc w:val="center"/>
              <w:rPr>
                <w:rFonts w:ascii="Times New Roman" w:eastAsia="方正仿宋_GBK" w:cs="Times New Roman" w:hAnsi="Times New Roman"/>
                <w:color w:val="000000"/>
                <w:kern w:val="0"/>
                <w:sz w:val="24"/>
                <w:szCs w:val="24"/>
              </w:rPr>
            </w:pPr>
            <w:r>
              <w:rPr>
                <w:rFonts w:ascii="Times New Roman" w:eastAsia="方正仿宋_GBK" w:cs="Times New Roman" w:hAnsi="Times New Roman"/>
                <w:color w:val="000000"/>
                <w:kern w:val="0"/>
                <w:sz w:val="24"/>
                <w:szCs w:val="24"/>
              </w:rPr>
              <w:t>发包人名称</w:t>
            </w:r>
          </w:p>
        </w:tc>
        <w:tc>
          <w:tcPr>
            <w:tcW w:w="6826" w:type="dxa"/>
            <w:tcBorders>
              <w:left w:val="single" w:sz="4" w:space="0" w:color="auto"/>
            </w:tcBorders>
            <w:shd w:val="clear" w:color="auto" w:fill="auto"/>
            <w:vAlign w:val="center"/>
          </w:tcPr>
          <w:p>
            <w:pPr>
              <w:widowControl/>
              <w:ind w:firstLine="560"/>
              <w:jc w:val="center"/>
              <w:rPr>
                <w:rFonts w:ascii="Times New Roman" w:eastAsia="方正仿宋_GBK" w:cs="Times New Roman" w:hAnsi="Times New Roman"/>
                <w:color w:val="000000"/>
                <w:kern w:val="0"/>
                <w:sz w:val="24"/>
                <w:szCs w:val="24"/>
              </w:rPr>
            </w:pPr>
          </w:p>
        </w:tc>
      </w:tr>
      <w:tr>
        <w:trPr>
          <w:trHeight w:val="850"/>
        </w:trPr>
        <w:tc>
          <w:tcPr>
            <w:tcW w:w="1696" w:type="dxa"/>
            <w:shd w:val="clear" w:color="auto" w:fill="auto"/>
            <w:vAlign w:val="center"/>
          </w:tcPr>
          <w:p>
            <w:pPr>
              <w:widowControl/>
              <w:jc w:val="center"/>
              <w:rPr>
                <w:rFonts w:ascii="Times New Roman" w:eastAsia="方正仿宋_GBK" w:cs="Times New Roman" w:hAnsi="Times New Roman"/>
                <w:color w:val="000000"/>
                <w:kern w:val="0"/>
                <w:sz w:val="24"/>
                <w:szCs w:val="24"/>
              </w:rPr>
            </w:pPr>
            <w:r>
              <w:rPr>
                <w:rFonts w:ascii="Times New Roman" w:eastAsia="方正仿宋_GBK" w:cs="Times New Roman" w:hAnsi="Times New Roman"/>
                <w:color w:val="000000"/>
                <w:kern w:val="0"/>
                <w:sz w:val="24"/>
                <w:szCs w:val="24"/>
              </w:rPr>
              <w:t>发包人地址</w:t>
            </w:r>
          </w:p>
        </w:tc>
        <w:tc>
          <w:tcPr>
            <w:tcW w:w="6826" w:type="dxa"/>
            <w:tcBorders>
              <w:left w:val="single" w:sz="4" w:space="0" w:color="auto"/>
            </w:tcBorders>
            <w:shd w:val="clear" w:color="auto" w:fill="auto"/>
            <w:vAlign w:val="center"/>
          </w:tcPr>
          <w:p>
            <w:pPr>
              <w:widowControl/>
              <w:ind w:firstLine="560"/>
              <w:jc w:val="center"/>
              <w:rPr>
                <w:rFonts w:ascii="Times New Roman" w:eastAsia="方正仿宋_GBK" w:cs="Times New Roman" w:hAnsi="Times New Roman"/>
                <w:color w:val="000000"/>
                <w:kern w:val="0"/>
                <w:sz w:val="24"/>
                <w:szCs w:val="24"/>
              </w:rPr>
            </w:pPr>
          </w:p>
        </w:tc>
      </w:tr>
      <w:tr>
        <w:trPr>
          <w:trHeight w:val="850"/>
        </w:trPr>
        <w:tc>
          <w:tcPr>
            <w:tcW w:w="1696" w:type="dxa"/>
            <w:shd w:val="clear" w:color="auto" w:fill="auto"/>
            <w:vAlign w:val="center"/>
          </w:tcPr>
          <w:p>
            <w:pPr>
              <w:widowControl/>
              <w:jc w:val="center"/>
              <w:rPr>
                <w:rFonts w:ascii="Times New Roman" w:eastAsia="方正仿宋_GBK" w:cs="Times New Roman" w:hAnsi="Times New Roman"/>
                <w:color w:val="000000"/>
                <w:kern w:val="0"/>
                <w:sz w:val="24"/>
                <w:szCs w:val="24"/>
              </w:rPr>
            </w:pPr>
            <w:r>
              <w:rPr>
                <w:rFonts w:ascii="Times New Roman" w:eastAsia="方正仿宋_GBK" w:cs="Times New Roman" w:hAnsi="Times New Roman"/>
                <w:color w:val="000000"/>
                <w:kern w:val="0"/>
                <w:sz w:val="24"/>
                <w:szCs w:val="24"/>
              </w:rPr>
              <w:t>发包人电话</w:t>
            </w:r>
          </w:p>
        </w:tc>
        <w:tc>
          <w:tcPr>
            <w:tcW w:w="6826" w:type="dxa"/>
            <w:tcBorders>
              <w:left w:val="single" w:sz="4" w:space="0" w:color="auto"/>
            </w:tcBorders>
            <w:shd w:val="clear" w:color="auto" w:fill="auto"/>
            <w:vAlign w:val="center"/>
          </w:tcPr>
          <w:p>
            <w:pPr>
              <w:widowControl/>
              <w:ind w:firstLine="560"/>
              <w:jc w:val="center"/>
              <w:rPr>
                <w:rFonts w:ascii="Times New Roman" w:eastAsia="方正仿宋_GBK" w:cs="Times New Roman" w:hAnsi="Times New Roman"/>
                <w:color w:val="000000"/>
                <w:kern w:val="0"/>
                <w:sz w:val="24"/>
                <w:szCs w:val="24"/>
              </w:rPr>
            </w:pPr>
          </w:p>
        </w:tc>
      </w:tr>
      <w:tr>
        <w:trPr>
          <w:trHeight w:val="850"/>
        </w:trPr>
        <w:tc>
          <w:tcPr>
            <w:tcW w:w="1696" w:type="dxa"/>
            <w:shd w:val="clear" w:color="auto" w:fill="auto"/>
            <w:vAlign w:val="center"/>
          </w:tcPr>
          <w:p>
            <w:pPr>
              <w:widowControl/>
              <w:jc w:val="center"/>
              <w:rPr>
                <w:rFonts w:ascii="Times New Roman" w:eastAsia="方正仿宋_GBK" w:cs="Times New Roman" w:hAnsi="Times New Roman"/>
                <w:color w:val="000000"/>
                <w:kern w:val="0"/>
                <w:sz w:val="24"/>
                <w:szCs w:val="24"/>
              </w:rPr>
            </w:pPr>
            <w:r>
              <w:rPr>
                <w:rFonts w:ascii="Times New Roman" w:eastAsia="方正仿宋_GBK" w:cs="Times New Roman" w:hAnsi="Times New Roman"/>
                <w:color w:val="000000"/>
                <w:kern w:val="0"/>
                <w:sz w:val="24"/>
                <w:szCs w:val="24"/>
              </w:rPr>
              <w:t>合同价格</w:t>
            </w:r>
          </w:p>
        </w:tc>
        <w:tc>
          <w:tcPr>
            <w:tcW w:w="6826" w:type="dxa"/>
            <w:tcBorders>
              <w:left w:val="single" w:sz="4" w:space="0" w:color="auto"/>
            </w:tcBorders>
            <w:shd w:val="clear" w:color="auto" w:fill="auto"/>
            <w:vAlign w:val="center"/>
          </w:tcPr>
          <w:p>
            <w:pPr>
              <w:widowControl/>
              <w:ind w:firstLine="560"/>
              <w:jc w:val="center"/>
              <w:rPr>
                <w:rFonts w:ascii="Times New Roman" w:eastAsia="方正仿宋_GBK" w:cs="Times New Roman" w:hAnsi="Times New Roman"/>
                <w:color w:val="000000"/>
                <w:kern w:val="0"/>
                <w:sz w:val="24"/>
                <w:szCs w:val="24"/>
              </w:rPr>
            </w:pPr>
          </w:p>
        </w:tc>
      </w:tr>
      <w:tr>
        <w:trPr>
          <w:trHeight w:val="850"/>
        </w:trPr>
        <w:tc>
          <w:tcPr>
            <w:tcW w:w="1696" w:type="dxa"/>
            <w:shd w:val="clear" w:color="auto" w:fill="auto"/>
            <w:vAlign w:val="center"/>
          </w:tcPr>
          <w:p>
            <w:pPr>
              <w:widowControl/>
              <w:jc w:val="center"/>
              <w:rPr>
                <w:rFonts w:ascii="Times New Roman" w:eastAsia="方正仿宋_GBK" w:cs="Times New Roman" w:hAnsi="Times New Roman"/>
                <w:color w:val="000000"/>
                <w:kern w:val="0"/>
                <w:sz w:val="24"/>
                <w:szCs w:val="24"/>
                <w:lang w:val="en-US" w:eastAsia="zh-CN"/>
              </w:rPr>
            </w:pPr>
            <w:r>
              <w:rPr>
                <w:rFonts w:ascii="Times New Roman" w:eastAsia="方正仿宋_GBK" w:cs="Times New Roman" w:hAnsi="Times New Roman"/>
                <w:color w:val="000000"/>
                <w:kern w:val="0"/>
                <w:sz w:val="24"/>
                <w:szCs w:val="24"/>
                <w:lang w:val="en-US" w:eastAsia="zh-CN"/>
              </w:rPr>
              <w:t>开工日期</w:t>
            </w:r>
          </w:p>
        </w:tc>
        <w:tc>
          <w:tcPr>
            <w:tcW w:w="6826" w:type="dxa"/>
            <w:tcBorders>
              <w:left w:val="single" w:sz="4" w:space="0" w:color="auto"/>
            </w:tcBorders>
            <w:shd w:val="clear" w:color="auto" w:fill="auto"/>
            <w:vAlign w:val="center"/>
          </w:tcPr>
          <w:p>
            <w:pPr>
              <w:widowControl/>
              <w:ind w:firstLine="560"/>
              <w:jc w:val="center"/>
              <w:rPr>
                <w:rFonts w:ascii="Times New Roman" w:eastAsia="方正仿宋_GBK" w:cs="Times New Roman" w:hAnsi="Times New Roman"/>
                <w:color w:val="000000"/>
                <w:kern w:val="0"/>
                <w:sz w:val="24"/>
                <w:szCs w:val="24"/>
              </w:rPr>
            </w:pPr>
          </w:p>
        </w:tc>
      </w:tr>
      <w:tr>
        <w:trPr>
          <w:trHeight w:val="850"/>
        </w:trPr>
        <w:tc>
          <w:tcPr>
            <w:tcW w:w="1696" w:type="dxa"/>
            <w:shd w:val="clear" w:color="auto" w:fill="auto"/>
            <w:vAlign w:val="center"/>
          </w:tcPr>
          <w:p>
            <w:pPr>
              <w:widowControl/>
              <w:jc w:val="center"/>
              <w:rPr>
                <w:rFonts w:ascii="Times New Roman" w:eastAsia="方正仿宋_GBK" w:cs="Times New Roman" w:hAnsi="Times New Roman"/>
                <w:color w:val="000000"/>
                <w:kern w:val="0"/>
                <w:sz w:val="24"/>
                <w:szCs w:val="24"/>
                <w:lang w:val="en-US" w:eastAsia="zh-CN"/>
              </w:rPr>
            </w:pPr>
            <w:r>
              <w:rPr>
                <w:rFonts w:ascii="Times New Roman" w:eastAsia="方正仿宋_GBK" w:cs="Times New Roman" w:hAnsi="Times New Roman"/>
                <w:color w:val="000000"/>
                <w:kern w:val="0"/>
                <w:sz w:val="24"/>
                <w:szCs w:val="24"/>
                <w:lang w:val="en-US" w:eastAsia="zh-CN"/>
              </w:rPr>
              <w:t>竣工日期</w:t>
            </w:r>
          </w:p>
        </w:tc>
        <w:tc>
          <w:tcPr>
            <w:tcW w:w="6826" w:type="dxa"/>
            <w:tcBorders>
              <w:left w:val="single" w:sz="4" w:space="0" w:color="auto"/>
            </w:tcBorders>
            <w:shd w:val="clear" w:color="auto" w:fill="auto"/>
            <w:vAlign w:val="center"/>
          </w:tcPr>
          <w:p>
            <w:pPr>
              <w:widowControl/>
              <w:ind w:firstLine="560"/>
              <w:jc w:val="center"/>
              <w:rPr>
                <w:rFonts w:ascii="Times New Roman" w:eastAsia="方正仿宋_GBK" w:cs="Times New Roman" w:hAnsi="Times New Roman"/>
                <w:color w:val="000000"/>
                <w:kern w:val="0"/>
                <w:sz w:val="24"/>
                <w:szCs w:val="24"/>
              </w:rPr>
            </w:pPr>
          </w:p>
        </w:tc>
      </w:tr>
      <w:tr>
        <w:trPr>
          <w:trHeight w:val="850"/>
        </w:trPr>
        <w:tc>
          <w:tcPr>
            <w:tcW w:w="1696" w:type="dxa"/>
            <w:shd w:val="clear" w:color="auto" w:fill="auto"/>
            <w:vAlign w:val="center"/>
          </w:tcPr>
          <w:p>
            <w:pPr>
              <w:pStyle w:val="25"/>
              <w:ind w:left="0" w:firstLineChars="0" w:firstLine="0"/>
              <w:jc w:val="center"/>
              <w:rPr>
                <w:rFonts w:eastAsia="方正仿宋_GBK"/>
                <w:sz w:val="24"/>
                <w:lang w:val="en-US" w:eastAsia="zh-CN"/>
              </w:rPr>
            </w:pPr>
            <w:r>
              <w:rPr>
                <w:rFonts w:eastAsia="方正仿宋_GBK"/>
                <w:color w:val="000000"/>
                <w:kern w:val="0"/>
                <w:sz w:val="24"/>
                <w:lang w:val="en-US" w:eastAsia="zh-CN" w:bidi="ar-SA"/>
              </w:rPr>
              <w:t>承担的工作</w:t>
            </w:r>
          </w:p>
        </w:tc>
        <w:tc>
          <w:tcPr>
            <w:tcW w:w="6826" w:type="dxa"/>
            <w:tcBorders>
              <w:left w:val="single" w:sz="4" w:space="0" w:color="auto"/>
            </w:tcBorders>
            <w:shd w:val="clear" w:color="auto" w:fill="auto"/>
            <w:vAlign w:val="center"/>
          </w:tcPr>
          <w:p>
            <w:pPr>
              <w:widowControl/>
              <w:ind w:firstLine="560"/>
              <w:jc w:val="center"/>
              <w:rPr>
                <w:rFonts w:ascii="Times New Roman" w:eastAsia="方正仿宋_GBK" w:cs="Times New Roman" w:hAnsi="Times New Roman"/>
                <w:color w:val="000000"/>
                <w:kern w:val="0"/>
                <w:sz w:val="24"/>
                <w:szCs w:val="24"/>
              </w:rPr>
            </w:pPr>
          </w:p>
        </w:tc>
      </w:tr>
      <w:tr>
        <w:trPr>
          <w:trHeight w:val="850"/>
        </w:trPr>
        <w:tc>
          <w:tcPr>
            <w:tcW w:w="1696" w:type="dxa"/>
            <w:shd w:val="clear" w:color="auto" w:fill="auto"/>
            <w:vAlign w:val="center"/>
          </w:tcPr>
          <w:p>
            <w:pPr>
              <w:widowControl/>
              <w:jc w:val="center"/>
              <w:rPr>
                <w:rFonts w:ascii="Times New Roman" w:eastAsia="方正仿宋_GBK" w:cs="Times New Roman" w:hAnsi="Times New Roman"/>
                <w:color w:val="000000"/>
                <w:kern w:val="0"/>
                <w:sz w:val="24"/>
                <w:szCs w:val="24"/>
              </w:rPr>
            </w:pPr>
            <w:r>
              <w:rPr>
                <w:rFonts w:ascii="Times New Roman" w:eastAsia="方正仿宋_GBK" w:cs="Times New Roman" w:hAnsi="Times New Roman"/>
                <w:color w:val="000000"/>
                <w:kern w:val="0"/>
                <w:sz w:val="24"/>
                <w:szCs w:val="24"/>
              </w:rPr>
              <w:t>项目描述</w:t>
            </w:r>
          </w:p>
        </w:tc>
        <w:tc>
          <w:tcPr>
            <w:tcW w:w="6826" w:type="dxa"/>
            <w:tcBorders>
              <w:left w:val="single" w:sz="4" w:space="0" w:color="auto"/>
            </w:tcBorders>
            <w:shd w:val="clear" w:color="auto" w:fill="auto"/>
            <w:vAlign w:val="center"/>
          </w:tcPr>
          <w:p>
            <w:pPr>
              <w:widowControl/>
              <w:ind w:firstLine="560"/>
              <w:jc w:val="center"/>
              <w:rPr>
                <w:rFonts w:ascii="Times New Roman" w:eastAsia="方正仿宋_GBK" w:cs="Times New Roman" w:hAnsi="Times New Roman"/>
                <w:color w:val="000000"/>
                <w:kern w:val="0"/>
                <w:sz w:val="24"/>
                <w:szCs w:val="24"/>
              </w:rPr>
            </w:pPr>
          </w:p>
        </w:tc>
      </w:tr>
      <w:tr>
        <w:trPr>
          <w:trHeight w:val="850"/>
        </w:trPr>
        <w:tc>
          <w:tcPr>
            <w:tcW w:w="1696" w:type="dxa"/>
            <w:shd w:val="clear" w:color="auto" w:fill="auto"/>
            <w:vAlign w:val="center"/>
          </w:tcPr>
          <w:p>
            <w:pPr>
              <w:widowControl/>
              <w:jc w:val="center"/>
              <w:rPr>
                <w:rFonts w:ascii="Times New Roman" w:eastAsia="方正仿宋_GBK" w:cs="Times New Roman" w:hAnsi="Times New Roman"/>
                <w:color w:val="000000"/>
                <w:kern w:val="0"/>
                <w:sz w:val="24"/>
                <w:szCs w:val="24"/>
              </w:rPr>
            </w:pPr>
            <w:r>
              <w:rPr>
                <w:rFonts w:ascii="Times New Roman" w:eastAsia="方正仿宋_GBK" w:cs="Times New Roman" w:hAnsi="Times New Roman"/>
                <w:color w:val="000000"/>
                <w:kern w:val="0"/>
                <w:sz w:val="24"/>
                <w:szCs w:val="24"/>
              </w:rPr>
              <w:t>备注</w:t>
            </w:r>
          </w:p>
        </w:tc>
        <w:tc>
          <w:tcPr>
            <w:tcW w:w="6826" w:type="dxa"/>
            <w:tcBorders>
              <w:left w:val="single" w:sz="4" w:space="0" w:color="auto"/>
            </w:tcBorders>
            <w:shd w:val="clear" w:color="auto" w:fill="auto"/>
            <w:vAlign w:val="center"/>
          </w:tcPr>
          <w:p>
            <w:pPr>
              <w:widowControl/>
              <w:ind w:firstLine="560"/>
              <w:jc w:val="center"/>
              <w:rPr>
                <w:rFonts w:ascii="Times New Roman" w:eastAsia="方正仿宋_GBK" w:cs="Times New Roman" w:hAnsi="Times New Roman"/>
                <w:color w:val="000000"/>
                <w:kern w:val="0"/>
                <w:sz w:val="24"/>
                <w:szCs w:val="24"/>
              </w:rPr>
            </w:pPr>
          </w:p>
        </w:tc>
      </w:tr>
    </w:tbl>
    <w:p>
      <w:pPr>
        <w:widowControl/>
        <w:spacing w:before="100" w:beforeAutospacing="1" w:after="100" w:afterAutospacing="1" w:line="252" w:lineRule="atLeast"/>
        <w:rPr>
          <w:rFonts w:ascii="Times New Roman" w:eastAsia="仿宋_GB2312" w:cs="Times New Roman" w:hAnsi="Times New Roman"/>
          <w:bCs/>
          <w:kern w:val="0"/>
          <w:sz w:val="28"/>
          <w:szCs w:val="28"/>
        </w:rPr>
      </w:pPr>
      <w:r>
        <w:rPr>
          <w:rFonts w:ascii="Times New Roman" w:eastAsia="方正仿宋_GBK" w:cs="Times New Roman" w:hAnsi="Times New Roman"/>
          <w:bCs/>
          <w:kern w:val="0"/>
          <w:sz w:val="28"/>
          <w:szCs w:val="28"/>
        </w:rPr>
        <w:t>注：以上项目需提供合同复印件并加盖鲜章</w:t>
      </w:r>
      <w:r>
        <w:rPr>
          <w:rFonts w:ascii="Times New Roman" w:eastAsia="方正仿宋_GBK" w:cs="Times New Roman" w:hAnsi="Times New Roman"/>
          <w:bCs/>
          <w:kern w:val="0"/>
          <w:sz w:val="30"/>
          <w:szCs w:val="30"/>
        </w:rPr>
        <w:t>。</w:t>
      </w:r>
    </w:p>
    <w:p>
      <w:pPr>
        <w:rPr>
          <w:rFonts w:ascii="Times New Roman" w:eastAsia="宋体" w:cs="Times New Roman" w:hAnsi="Times New Roman"/>
          <w:sz w:val="32"/>
          <w:szCs w:val="32"/>
        </w:rPr>
      </w:pPr>
      <w:r>
        <w:rPr>
          <w:rFonts w:ascii="Times New Roman" w:eastAsia="宋体" w:cs="Times New Roman" w:hAnsi="Times New Roman"/>
          <w:sz w:val="32"/>
          <w:szCs w:val="32"/>
        </w:rPr>
        <w:br w:type="page"/>
      </w:r>
    </w:p>
    <w:p>
      <w:pPr>
        <w:spacing w:beforeAutospacing="0" w:afterAutospacing="0" w:line="560" w:lineRule="exact"/>
        <w:jc w:val="both"/>
        <w:rPr>
          <w:rFonts w:ascii="Times New Roman" w:eastAsia="方正仿宋_GBK" w:cs="Times New Roman" w:hAnsi="Times New Roman"/>
          <w:sz w:val="28"/>
          <w:szCs w:val="28"/>
        </w:rPr>
      </w:pPr>
      <w:r>
        <w:rPr>
          <w:rFonts w:ascii="Times New Roman" w:eastAsia="方正仿宋_GBK" w:cs="Times New Roman" w:hAnsi="Times New Roman"/>
          <w:sz w:val="28"/>
          <w:szCs w:val="28"/>
        </w:rPr>
        <w:t>五、合同条款</w:t>
      </w:r>
    </w:p>
    <w:p>
      <w:pPr>
        <w:spacing w:beforeAutospacing="0" w:afterAutospacing="0" w:line="560" w:lineRule="exact"/>
        <w:rPr>
          <w:rFonts w:ascii="Times New Roman" w:eastAsia="方正仿宋_GBK" w:cs="Times New Roman" w:hAnsi="Times New Roman"/>
          <w:sz w:val="28"/>
          <w:szCs w:val="28"/>
        </w:rPr>
      </w:pPr>
    </w:p>
    <w:p>
      <w:pPr>
        <w:spacing w:beforeAutospacing="0" w:afterAutospacing="0" w:line="560" w:lineRule="exact"/>
        <w:rPr>
          <w:rFonts w:ascii="Times New Roman" w:eastAsia="方正仿宋_GBK" w:cs="Times New Roman" w:hAnsi="Times New Roman"/>
          <w:sz w:val="28"/>
          <w:szCs w:val="28"/>
        </w:rPr>
      </w:pPr>
    </w:p>
    <w:p>
      <w:pPr>
        <w:spacing w:beforeAutospacing="0" w:afterAutospacing="0" w:line="560" w:lineRule="exact"/>
        <w:jc w:val="center"/>
        <w:rPr>
          <w:rFonts w:ascii="Times New Roman" w:eastAsia="方正小标宋_GBK" w:cs="Times New Roman" w:hAnsi="Times New Roman"/>
          <w:sz w:val="36"/>
          <w:szCs w:val="36"/>
        </w:rPr>
      </w:pPr>
      <w:r>
        <w:rPr>
          <w:rFonts w:ascii="Times New Roman" w:eastAsia="方正小标宋_GBK" w:cs="Times New Roman" w:hAnsi="Times New Roman"/>
          <w:sz w:val="36"/>
          <w:szCs w:val="36"/>
        </w:rPr>
        <w:t>高新区盾构渣集中处置项目</w:t>
      </w:r>
    </w:p>
    <w:p>
      <w:pPr>
        <w:spacing w:beforeAutospacing="0" w:afterAutospacing="0" w:line="560" w:lineRule="exact"/>
        <w:jc w:val="center"/>
        <w:rPr>
          <w:rFonts w:ascii="Times New Roman" w:eastAsia="方正小标宋_GBK" w:cs="Times New Roman" w:hAnsi="Times New Roman"/>
          <w:sz w:val="36"/>
          <w:szCs w:val="36"/>
        </w:rPr>
      </w:pPr>
      <w:r>
        <w:rPr>
          <w:rFonts w:ascii="Times New Roman" w:eastAsia="方正小标宋_GBK" w:cs="Times New Roman" w:hAnsi="Times New Roman"/>
          <w:sz w:val="36"/>
          <w:szCs w:val="36"/>
        </w:rPr>
        <w:t>处置设备通用部分易损件采购合同</w:t>
      </w:r>
    </w:p>
    <w:p>
      <w:pPr>
        <w:spacing w:beforeAutospacing="0" w:afterAutospacing="0" w:line="560" w:lineRule="exact"/>
        <w:rPr>
          <w:rFonts w:ascii="Times New Roman" w:eastAsia="方正仿宋_GBK" w:cs="Times New Roman" w:hAnsi="Times New Roman"/>
          <w:sz w:val="28"/>
          <w:szCs w:val="28"/>
        </w:rPr>
      </w:pPr>
    </w:p>
    <w:p>
      <w:pPr>
        <w:spacing w:beforeAutospacing="0" w:afterAutospacing="0" w:line="560" w:lineRule="exact"/>
        <w:rPr>
          <w:rFonts w:ascii="Times New Roman" w:eastAsia="方正仿宋_GBK" w:cs="Times New Roman" w:hAnsi="Times New Roman"/>
          <w:sz w:val="28"/>
          <w:szCs w:val="28"/>
        </w:rPr>
      </w:pPr>
    </w:p>
    <w:p>
      <w:pPr>
        <w:spacing w:beforeLines="50" w:before="156" w:beforeAutospacing="0" w:afterAutospacing="0" w:line="560" w:lineRule="exact"/>
        <w:ind w:firstLineChars="100" w:firstLine="280"/>
        <w:rPr>
          <w:rFonts w:ascii="Times New Roman" w:eastAsia="方正仿宋_GBK" w:cs="Times New Roman" w:hAnsi="Times New Roman"/>
          <w:sz w:val="28"/>
          <w:szCs w:val="28"/>
        </w:rPr>
      </w:pPr>
      <w:r>
        <w:rPr>
          <w:rFonts w:ascii="Times New Roman" w:eastAsia="方正仿宋_GBK" w:cs="Times New Roman" w:hAnsi="Times New Roman"/>
          <w:sz w:val="28"/>
          <w:szCs w:val="28"/>
        </w:rPr>
        <w:t xml:space="preserve">       </w:t>
      </w:r>
    </w:p>
    <w:p>
      <w:pPr>
        <w:spacing w:beforeLines="50" w:before="156" w:beforeAutospacing="0" w:afterAutospacing="0" w:line="560" w:lineRule="exact"/>
        <w:ind w:leftChars="200" w:left="420"/>
        <w:rPr>
          <w:rFonts w:ascii="Times New Roman" w:eastAsia="方正仿宋_GBK" w:cs="Times New Roman" w:hAnsi="Times New Roman"/>
          <w:sz w:val="28"/>
          <w:szCs w:val="28"/>
        </w:rPr>
      </w:pPr>
    </w:p>
    <w:p>
      <w:pPr>
        <w:spacing w:beforeLines="50" w:before="156" w:beforeAutospacing="0" w:afterAutospacing="0" w:line="560" w:lineRule="exact"/>
        <w:ind w:leftChars="318" w:left="668"/>
        <w:rPr>
          <w:rFonts w:ascii="Times New Roman" w:eastAsia="方正仿宋_GBK" w:cs="Times New Roman" w:hAnsi="Times New Roman"/>
          <w:sz w:val="28"/>
          <w:szCs w:val="28"/>
        </w:rPr>
      </w:pPr>
    </w:p>
    <w:p>
      <w:pPr>
        <w:spacing w:beforeLines="50" w:before="156" w:beforeAutospacing="0" w:afterAutospacing="0" w:line="560" w:lineRule="exact"/>
        <w:ind w:leftChars="318" w:left="668"/>
        <w:rPr>
          <w:rFonts w:ascii="Times New Roman" w:eastAsia="方正仿宋_GBK" w:cs="Times New Roman" w:hAnsi="Times New Roman"/>
          <w:sz w:val="28"/>
          <w:szCs w:val="28"/>
        </w:rPr>
      </w:pPr>
    </w:p>
    <w:p>
      <w:pPr>
        <w:spacing w:beforeLines="50" w:before="156" w:beforeAutospacing="0" w:afterAutospacing="0" w:line="560" w:lineRule="exact"/>
        <w:ind w:firstLineChars="200" w:firstLine="560"/>
        <w:rPr>
          <w:rFonts w:ascii="Times New Roman" w:eastAsia="方正仿宋_GBK" w:cs="Times New Roman" w:hAnsi="Times New Roman"/>
          <w:sz w:val="28"/>
          <w:szCs w:val="28"/>
          <w:u w:val="single"/>
        </w:rPr>
      </w:pPr>
      <w:r>
        <w:rPr>
          <w:rFonts w:ascii="Times New Roman" w:eastAsia="方正仿宋_GBK" w:cs="Times New Roman" w:hAnsi="Times New Roman"/>
          <w:sz w:val="28"/>
          <w:szCs w:val="28"/>
        </w:rPr>
        <w:t>委托单位：</w:t>
      </w:r>
      <w:r>
        <w:rPr>
          <w:rFonts w:ascii="Times New Roman" w:eastAsia="方正仿宋_GBK" w:cs="Times New Roman" w:hAnsi="Times New Roman"/>
          <w:sz w:val="28"/>
          <w:szCs w:val="28"/>
          <w:u w:val="single"/>
        </w:rPr>
        <w:t>重庆城市综合交通枢纽（集团）有限公司</w:t>
      </w:r>
    </w:p>
    <w:p>
      <w:pPr>
        <w:spacing w:beforeLines="50" w:before="156" w:beforeAutospacing="0" w:afterAutospacing="0" w:line="560" w:lineRule="exact"/>
        <w:ind w:leftChars="318" w:left="668"/>
        <w:rPr>
          <w:rFonts w:ascii="Times New Roman" w:eastAsia="方正仿宋_GBK" w:cs="Times New Roman" w:hAnsi="Times New Roman"/>
          <w:sz w:val="28"/>
          <w:szCs w:val="28"/>
        </w:rPr>
      </w:pPr>
    </w:p>
    <w:p>
      <w:pPr>
        <w:tabs>
          <w:tab w:val="left" w:pos="227"/>
        </w:tabs>
        <w:spacing w:beforeLines="50" w:before="156" w:beforeAutospacing="0" w:afterAutospacing="0" w:line="560" w:lineRule="exact"/>
        <w:ind w:firstLineChars="200" w:firstLine="560"/>
        <w:rPr>
          <w:rFonts w:ascii="Times New Roman" w:eastAsia="方正仿宋_GBK" w:cs="Times New Roman" w:hAnsi="Times New Roman"/>
          <w:sz w:val="28"/>
          <w:szCs w:val="28"/>
          <w:u w:val="single"/>
        </w:rPr>
      </w:pPr>
      <w:r>
        <w:rPr>
          <w:rFonts w:ascii="Times New Roman" w:eastAsia="方正仿宋_GBK" w:cs="Times New Roman" w:hAnsi="Times New Roman"/>
          <w:sz w:val="28"/>
          <w:szCs w:val="28"/>
        </w:rPr>
        <w:t>受托单位：</w:t>
      </w:r>
      <w:r>
        <w:rPr>
          <w:rFonts w:ascii="Times New Roman" w:eastAsia="方正仿宋_GBK" w:cs="Times New Roman" w:hAnsi="Times New Roman"/>
          <w:sz w:val="28"/>
          <w:szCs w:val="28"/>
          <w:u w:val="single" w:color="auto"/>
        </w:rPr>
        <w:t xml:space="preserve">                                    </w:t>
      </w:r>
    </w:p>
    <w:p>
      <w:pPr>
        <w:spacing w:beforeLines="50" w:before="156" w:beforeAutospacing="0" w:afterAutospacing="0" w:line="560" w:lineRule="exact"/>
        <w:ind w:firstLineChars="100" w:firstLine="280"/>
        <w:rPr>
          <w:rFonts w:ascii="Times New Roman" w:eastAsia="方正仿宋_GBK" w:cs="Times New Roman" w:hAnsi="Times New Roman"/>
          <w:sz w:val="28"/>
          <w:szCs w:val="28"/>
        </w:rPr>
      </w:pPr>
    </w:p>
    <w:p>
      <w:pPr>
        <w:spacing w:beforeLines="50" w:before="156"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t>签订时间：</w:t>
      </w:r>
      <w:r>
        <w:rPr>
          <w:rFonts w:ascii="Times New Roman" w:eastAsia="方正仿宋_GBK" w:cs="Times New Roman" w:hAnsi="Times New Roman"/>
          <w:sz w:val="28"/>
          <w:szCs w:val="28"/>
          <w:u w:val="single"/>
        </w:rPr>
        <w:t xml:space="preserve">              年   月   日        </w:t>
      </w:r>
    </w:p>
    <w:p>
      <w:pPr>
        <w:spacing w:beforeAutospacing="0" w:afterAutospacing="0" w:line="560" w:lineRule="exact"/>
        <w:rPr>
          <w:rFonts w:ascii="Times New Roman" w:eastAsia="方正仿宋_GBK" w:cs="Times New Roman" w:hAnsi="Times New Roman"/>
          <w:sz w:val="28"/>
          <w:szCs w:val="28"/>
        </w:rPr>
      </w:pPr>
    </w:p>
    <w:p>
      <w:pPr>
        <w:spacing w:beforeAutospacing="0" w:afterAutospacing="0" w:line="560" w:lineRule="exact"/>
        <w:rPr>
          <w:rFonts w:ascii="Times New Roman" w:eastAsia="方正仿宋_GBK" w:cs="Times New Roman" w:hAnsi="Times New Roman"/>
          <w:sz w:val="28"/>
          <w:szCs w:val="28"/>
        </w:rPr>
      </w:pPr>
    </w:p>
    <w:p>
      <w:pPr>
        <w:spacing w:beforeAutospacing="0" w:afterAutospacing="0" w:line="560" w:lineRule="exact"/>
        <w:rPr>
          <w:rFonts w:ascii="Times New Roman" w:eastAsia="方正仿宋_GBK" w:cs="Times New Roman" w:hAnsi="Times New Roman"/>
          <w:sz w:val="28"/>
          <w:szCs w:val="28"/>
        </w:rPr>
      </w:pPr>
    </w:p>
    <w:p>
      <w:pPr>
        <w:spacing w:beforeAutospacing="0" w:afterAutospacing="0" w:line="560" w:lineRule="exact"/>
        <w:rPr>
          <w:rFonts w:ascii="Times New Roman" w:eastAsia="方正仿宋_GBK" w:cs="Times New Roman" w:hAnsi="Times New Roman"/>
          <w:sz w:val="28"/>
          <w:szCs w:val="28"/>
        </w:rPr>
      </w:pPr>
    </w:p>
    <w:p>
      <w:pPr>
        <w:spacing w:beforeAutospacing="0" w:afterAutospacing="0" w:line="560" w:lineRule="exact"/>
        <w:ind w:firstLineChars="200" w:firstLine="560"/>
        <w:rPr>
          <w:rFonts w:ascii="Times New Roman" w:eastAsia="方正仿宋_GBK" w:cs="Times New Roman" w:hAnsi="Times New Roman"/>
          <w:sz w:val="28"/>
          <w:szCs w:val="28"/>
        </w:rPr>
      </w:pPr>
    </w:p>
    <w:p>
      <w:pPr>
        <w:pStyle w:val="23"/>
        <w:rPr>
          <w:rFonts w:ascii="Times New Roman" w:cs="Times New Roman" w:hAnsi="Times New Roman"/>
        </w:rPr>
      </w:pPr>
    </w:p>
    <w:p>
      <w:pPr>
        <w:rPr>
          <w:rFonts w:ascii="Times New Roman" w:cs="Times New Roman" w:hAnsi="Times New Roman"/>
        </w:rPr>
      </w:pPr>
    </w:p>
    <w:p>
      <w:pPr>
        <w:pStyle w:val="23"/>
        <w:rPr>
          <w:rFonts w:ascii="Times New Roman" w:cs="Times New Roman" w:hAnsi="Times New Roman"/>
        </w:rPr>
      </w:pPr>
    </w:p>
    <w:p>
      <w:pPr>
        <w:rPr>
          <w:rFonts w:ascii="Times New Roman" w:cs="Times New Roman" w:hAnsi="Times New Roman"/>
        </w:rPr>
      </w:pPr>
    </w:p>
    <w:p>
      <w:pPr>
        <w:spacing w:before="309" w:beforeAutospacing="0" w:afterAutospacing="0" w:line="560" w:lineRule="exact"/>
        <w:ind w:left="442"/>
        <w:rPr>
          <w:rFonts w:ascii="Times New Roman" w:eastAsia="方正仿宋_GBK" w:cs="Times New Roman" w:hAnsi="Times New Roman"/>
          <w:sz w:val="24"/>
          <w:szCs w:val="24"/>
          <w:lang w:bidi="ar-SA"/>
        </w:rPr>
      </w:pPr>
      <w:r>
        <w:rPr>
          <w:rFonts w:ascii="Times New Roman" w:eastAsia="方正仿宋_GBK" w:cs="Times New Roman" w:hAnsi="Times New Roman"/>
          <w:spacing w:val="-7"/>
          <w:sz w:val="24"/>
          <w:szCs w:val="24"/>
          <w:lang w:bidi="ar-SA"/>
        </w:rPr>
        <w:t>委托单位：</w:t>
      </w:r>
      <w:r>
        <w:rPr>
          <w:rFonts w:ascii="Times New Roman" w:eastAsia="方正仿宋_GBK" w:cs="Times New Roman" w:hAnsi="Times New Roman"/>
          <w:spacing w:val="-6"/>
          <w:sz w:val="24"/>
          <w:szCs w:val="24"/>
          <w:u w:val="single"/>
          <w:lang w:bidi="ar-SA"/>
        </w:rPr>
        <w:t>重庆城市综合交通枢纽（集团）有限公司</w:t>
      </w:r>
      <w:r>
        <w:rPr>
          <w:rFonts w:ascii="Times New Roman" w:eastAsia="方正仿宋_GBK" w:cs="Times New Roman" w:hAnsi="Times New Roman"/>
          <w:spacing w:val="1"/>
          <w:sz w:val="24"/>
          <w:szCs w:val="24"/>
          <w:lang w:bidi="ar-SA"/>
        </w:rPr>
        <w:t xml:space="preserve"> </w:t>
      </w:r>
      <w:r>
        <w:rPr>
          <w:rFonts w:ascii="Times New Roman" w:eastAsia="方正仿宋_GBK" w:cs="Times New Roman" w:hAnsi="Times New Roman"/>
          <w:spacing w:val="-6"/>
          <w:sz w:val="24"/>
          <w:szCs w:val="24"/>
          <w:lang w:bidi="ar-SA"/>
        </w:rPr>
        <w:t>（</w:t>
      </w:r>
      <w:r>
        <w:rPr>
          <w:rFonts w:ascii="Times New Roman" w:eastAsia="方正仿宋_GBK" w:cs="Times New Roman" w:hAnsi="Times New Roman"/>
          <w:spacing w:val="-7"/>
          <w:sz w:val="24"/>
          <w:szCs w:val="24"/>
          <w:lang w:bidi="ar-SA"/>
        </w:rPr>
        <w:t>以下简称“甲方”）</w:t>
      </w:r>
    </w:p>
    <w:p>
      <w:pPr>
        <w:spacing w:before="216" w:beforeAutospacing="0" w:afterAutospacing="0" w:line="560" w:lineRule="exact"/>
        <w:ind w:left="447"/>
        <w:rPr>
          <w:rFonts w:ascii="Times New Roman" w:eastAsia="方正仿宋_GBK" w:cs="Times New Roman" w:hAnsi="Times New Roman"/>
          <w:sz w:val="24"/>
          <w:szCs w:val="24"/>
          <w:lang w:bidi="ar-SA"/>
        </w:rPr>
      </w:pPr>
      <w:r>
        <w:rPr>
          <w:rFonts w:ascii="Times New Roman" w:eastAsia="方正仿宋_GBK" w:cs="Times New Roman" w:hAnsi="Times New Roman"/>
          <w:spacing w:val="-7"/>
          <w:sz w:val="24"/>
          <w:szCs w:val="24"/>
          <w:lang w:bidi="ar-SA"/>
        </w:rPr>
        <w:t>受托单位：</w:t>
      </w:r>
      <w:r>
        <w:rPr>
          <w:rFonts w:ascii="Times New Roman" w:eastAsia="方正仿宋_GBK" w:cs="Times New Roman" w:hAnsi="Times New Roman"/>
          <w:spacing w:val="-7"/>
          <w:sz w:val="24"/>
          <w:szCs w:val="24"/>
          <w:u w:val="single" w:color="auto"/>
          <w:lang w:bidi="ar-SA"/>
        </w:rPr>
        <w:t xml:space="preserve">                                        </w:t>
      </w:r>
      <w:r>
        <w:rPr>
          <w:rFonts w:ascii="Times New Roman" w:eastAsia="方正仿宋_GBK" w:cs="Times New Roman" w:hAnsi="Times New Roman"/>
          <w:spacing w:val="-2"/>
          <w:sz w:val="24"/>
          <w:szCs w:val="24"/>
          <w:lang w:bidi="ar-SA"/>
        </w:rPr>
        <w:t>（</w:t>
      </w:r>
      <w:r>
        <w:rPr>
          <w:rFonts w:ascii="Times New Roman" w:eastAsia="方正仿宋_GBK" w:cs="Times New Roman" w:hAnsi="Times New Roman"/>
          <w:spacing w:val="-8"/>
          <w:sz w:val="24"/>
          <w:szCs w:val="24"/>
          <w:lang w:bidi="ar-SA"/>
        </w:rPr>
        <w:t>以下简称“乙方”）</w:t>
      </w:r>
    </w:p>
    <w:p>
      <w:pPr>
        <w:spacing w:beforeAutospacing="0" w:afterAutospacing="0" w:line="5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甲、乙双方依照《中华人民共和国民法典》等有关法律、行政法规，在遵循平等、自愿、公平和诚实信用的原则下，就高新区盾构渣集中处置项目处置设备通用部分易损件采购事项协商一致，订立本合同。</w:t>
      </w:r>
    </w:p>
    <w:p>
      <w:pPr>
        <w:spacing w:beforeAutospacing="0" w:afterAutospacing="0" w:line="560" w:lineRule="exact"/>
        <w:ind w:firstLineChars="200" w:firstLine="480"/>
        <w:rPr>
          <w:rFonts w:ascii="Times New Roman" w:eastAsia="方正黑体_GBK" w:cs="Times New Roman" w:hAnsi="Times New Roman"/>
          <w:sz w:val="24"/>
          <w:szCs w:val="24"/>
        </w:rPr>
      </w:pPr>
      <w:r>
        <w:rPr>
          <w:rFonts w:ascii="Times New Roman" w:eastAsia="方正黑体_GBK" w:cs="Times New Roman" w:hAnsi="Times New Roman"/>
          <w:sz w:val="24"/>
          <w:szCs w:val="24"/>
        </w:rPr>
        <w:t>一、项目概况</w:t>
      </w:r>
    </w:p>
    <w:p>
      <w:pPr>
        <w:spacing w:beforeAutospacing="0" w:afterAutospacing="0" w:line="5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项目名称：高新区盾构渣集中处置项目处置设备通用部分易损件采购</w:t>
      </w:r>
    </w:p>
    <w:p>
      <w:pPr>
        <w:spacing w:beforeAutospacing="0" w:afterAutospacing="0" w:line="5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项目地点：重庆市高新区</w:t>
      </w:r>
    </w:p>
    <w:p>
      <w:pPr>
        <w:spacing w:beforeAutospacing="0" w:afterAutospacing="0" w:line="560" w:lineRule="exact"/>
        <w:ind w:firstLineChars="200" w:firstLine="480"/>
        <w:rPr>
          <w:rFonts w:ascii="Times New Roman" w:eastAsia="方正黑体_GBK" w:cs="Times New Roman" w:hAnsi="Times New Roman"/>
          <w:sz w:val="24"/>
          <w:szCs w:val="24"/>
        </w:rPr>
      </w:pPr>
      <w:r>
        <w:rPr>
          <w:rFonts w:ascii="Times New Roman" w:eastAsia="方正黑体_GBK" w:cs="Times New Roman" w:hAnsi="Times New Roman"/>
          <w:sz w:val="24"/>
          <w:szCs w:val="24"/>
        </w:rPr>
        <w:t>二、通用部分易损件单价、合同总价</w:t>
      </w:r>
    </w:p>
    <w:p>
      <w:pPr>
        <w:spacing w:beforeAutospacing="0" w:afterAutospacing="0" w:line="560" w:lineRule="exact"/>
        <w:ind w:firstLineChars="200" w:firstLine="480"/>
        <w:rPr>
          <w:rFonts w:ascii="Times New Roman" w:eastAsia="方正仿宋_GBK" w:cs="Times New Roman" w:hAnsi="Times New Roman"/>
          <w:sz w:val="24"/>
          <w:szCs w:val="24"/>
        </w:rPr>
      </w:pPr>
      <w:r>
        <w:rPr>
          <w:rFonts w:ascii="Times New Roman" w:eastAsia="方正仿宋_GBK" w:cs="Times New Roman" w:hAnsi="Times New Roman"/>
          <w:sz w:val="24"/>
          <w:szCs w:val="24"/>
        </w:rPr>
        <w:t>1.通用部分易损件半年用量及单价清单表</w:t>
      </w:r>
    </w:p>
    <w:tbl>
      <w:tblPr>
        <w:jc w:val="center"/>
        <w:tblW w:w="1095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4A0" w:firstRow="1" w:lastRow="0" w:firstColumn="1" w:lastColumn="0" w:noHBand="0" w:noVBand="1"/>
      </w:tblPr>
      <w:tblGrid>
        <w:gridCol w:w="474"/>
        <w:gridCol w:w="1745"/>
        <w:gridCol w:w="3716"/>
        <w:gridCol w:w="597"/>
        <w:gridCol w:w="1097"/>
        <w:gridCol w:w="7"/>
        <w:gridCol w:w="1070"/>
        <w:gridCol w:w="7"/>
        <w:gridCol w:w="1255"/>
        <w:gridCol w:w="982"/>
      </w:tblGrid>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序号</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名称</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型号及规格</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单位</w:t>
            </w:r>
          </w:p>
        </w:tc>
        <w:tc>
          <w:tcPr>
            <w:tcW w:w="10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半年数量</w:t>
            </w:r>
          </w:p>
        </w:tc>
        <w:tc>
          <w:tcPr>
            <w:tcW w:w="1077"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单价</w:t>
            </w:r>
          </w:p>
        </w:tc>
        <w:tc>
          <w:tcPr>
            <w:tcW w:w="1262"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总价（元）</w:t>
            </w: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备注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一</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润滑油</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压滤机液压油 46#</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cs="Times New Roman" w:hAnsi="Times New Roman"/>
                <w:sz w:val="18"/>
                <w:szCs w:val="18"/>
              </w:rPr>
              <w:t>200L（1桶）</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L</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2500.00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齿轮润滑油</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cs="Times New Roman" w:hAnsi="Times New Roman"/>
                <w:sz w:val="18"/>
                <w:szCs w:val="18"/>
              </w:rPr>
              <w:t>220#，18L（1桶）</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桶</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4.00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二</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皮带机易损件清单</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cs="Times New Roman" w:hAnsi="Times New Roman"/>
                <w:sz w:val="18"/>
                <w:szCs w:val="18"/>
              </w:rPr>
              <w:t>B800型和B1000型</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托辊</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15.00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清扫器</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3</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输送带</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米</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75.00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4</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轴承</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4.00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三</w:t>
            </w:r>
          </w:p>
        </w:tc>
        <w:tc>
          <w:tcPr>
            <w:tcW w:w="1745" w:type="dxa"/>
            <w:tcBorders>
              <w:top w:val="single" w:sz="6" w:space="0" w:color="auto"/>
              <w:left w:val="nil"/>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阀门</w:t>
            </w:r>
          </w:p>
        </w:tc>
        <w:tc>
          <w:tcPr>
            <w:tcW w:w="3716" w:type="dxa"/>
            <w:tcBorders>
              <w:top w:val="single" w:sz="6" w:space="0" w:color="auto"/>
              <w:left w:val="nil"/>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nil"/>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104" w:type="dxa"/>
            <w:gridSpan w:val="2"/>
            <w:tcBorders>
              <w:top w:val="single" w:sz="6" w:space="0" w:color="auto"/>
              <w:left w:val="nil"/>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077" w:type="dxa"/>
            <w:gridSpan w:val="2"/>
            <w:tcBorders>
              <w:top w:val="single" w:sz="6" w:space="0" w:color="auto"/>
              <w:left w:val="nil"/>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r>
      <w:tr>
        <w:trPr>
          <w:trHeight w:val="1892"/>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压力变送器</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eastAsia="等线" w:cs="Times New Roman" w:hAnsi="Times New Roman"/>
                <w:sz w:val="18"/>
                <w:szCs w:val="18"/>
              </w:rPr>
            </w:pPr>
            <w:r>
              <w:rPr>
                <w:rFonts w:ascii="Times New Roman" w:eastAsia="等线" w:cs="Times New Roman" w:hAnsi="Times New Roman"/>
                <w:sz w:val="18"/>
                <w:szCs w:val="18"/>
              </w:rPr>
              <w:t xml:space="preserve">无腔平膜压力变送器   SUP-P340-G2DK1A1G2NKWA02-BDXH2412   </w:t>
            </w:r>
          </w:p>
          <w:p>
            <w:pPr>
              <w:spacing w:beforeAutospacing="0" w:afterAutospacing="0" w:line="200" w:lineRule="exact"/>
              <w:jc w:val="center"/>
              <w:rPr>
                <w:rFonts w:ascii="Times New Roman" w:eastAsia="等线" w:cs="Times New Roman" w:hAnsi="Times New Roman"/>
                <w:sz w:val="18"/>
                <w:szCs w:val="18"/>
              </w:rPr>
            </w:pPr>
            <w:r>
              <w:rPr>
                <w:rFonts w:ascii="Times New Roman" w:eastAsia="等线" w:cs="Times New Roman" w:hAnsi="Times New Roman"/>
                <w:sz w:val="18"/>
                <w:szCs w:val="18"/>
              </w:rPr>
              <w:t>传感器类型:表压；测量范围:0-2.5MPa；准确度:0.5级；显示类型:有；输出及供电电源:二线制4-20mA；过程连接:G1/2螺纹；膜片及过程连接材质:17-4PH；电气接口、外壳材质及防护等级:赫斯曼接头，304SS，IP65；线缆长度:2m；</w:t>
            </w:r>
          </w:p>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品牌：美控</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2.00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705"/>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四</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振动筛易损件清单</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r>
      <w:tr>
        <w:trPr>
          <w:trHeight w:val="705"/>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优质轴承 22324/3624</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套</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eastAsia="等线" w:cs="Times New Roman" w:hAnsi="Times New Roman"/>
                <w:sz w:val="18"/>
                <w:szCs w:val="18"/>
              </w:rPr>
            </w:pPr>
            <w:r>
              <w:rPr>
                <w:rFonts w:ascii="Times New Roman" w:eastAsia="等线" w:cs="Times New Roman" w:hAnsi="Times New Roman"/>
                <w:sz w:val="18"/>
                <w:szCs w:val="18"/>
              </w:rPr>
              <w:t>（一套含8个）</w:t>
            </w:r>
          </w:p>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705"/>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五</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脱水筛易损件清单</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r>
      <w:tr>
        <w:trPr>
          <w:trHeight w:val="705"/>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优质轴承 22320/C4</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套</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（一套含8个）通用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六</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阀门</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曲绕橡胶软接头</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DN200-10C，10kg压力，法兰连接 （PN1.0）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4.00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曲绕橡胶软接头</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DN200-16C，法兰连接(PN1.6) </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2.00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3</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止回阀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H14W -20P,DN15 螺纹连接，PN2.0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2.00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4</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止回阀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H14W DN40 螺纹连接，PN1.0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5</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止回阀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H14W DN65 螺纹连接，PN1.0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6</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止回阀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H44H-16C DN50，法兰连接</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7</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止回阀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H44H-10C DN65，法兰连接</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8</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止回阀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H44H-16C DN80，法兰连接</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2.00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9</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止回阀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H44H-10C DN150，法兰连接</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10</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止回阀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H44H-10C DN200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11</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止回阀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DH77X-10C DN200，对夹式</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12</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电磁阀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2W800-80-AC220V，DN80，304,螺纹连接</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13</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刀闸阀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PZ73H-10C DN200，对夹式</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2.00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14</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刀闸阀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PZ73X-10C DN200，对夹式</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2.00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15</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气动刀闸阀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PZ673H-10C DN200，对夹式</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16</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气动球阀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Q641F-16C DN80，法兰连接</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2.00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17</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V型气动球阀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QV647H-16C，DN150，法兰连接</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18</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手动对夹蝶阀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D71X-10C DN80，对夹式</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19</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手动对夹蝶阀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D71X-10C,DN100，PN1.0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20</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手动对夹蝶阀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D71X-10C DN150，对夹式</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2.00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21</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Q11F DN15，螺纹连接，PN1.0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4.00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22</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Q11F-16P DN15，螺纹连接，PN2.0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3.00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23</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Q11F DN25，螺纹连接，PN1.0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24</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Q11F DN40，螺纹连接，PN1.0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25</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Q11F DN50，螺纹连接，PN1.0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8.00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26</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Q41F-10C DN50，法兰连接，PN1.0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2.00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27</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Q11F-16P DN65，螺纹连接，PN1.0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3.00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28</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Q41F-10C DN65，法兰连接，PN1.0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29</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Q41F-10C DN80，法兰连接，PN1.0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30</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Q41F-16C DN80，法兰连接，PN1.6</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2.00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31</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手动球阀</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Q41F-10C DN100，法兰连接，PN1.0</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1321"/>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32</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压力变送器</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eastAsia="等线" w:cs="Times New Roman" w:hAnsi="Times New Roman"/>
                <w:sz w:val="18"/>
                <w:szCs w:val="18"/>
              </w:rPr>
            </w:pPr>
            <w:r>
              <w:rPr>
                <w:rFonts w:ascii="Times New Roman" w:eastAsia="等线" w:cs="Times New Roman" w:hAnsi="Times New Roman"/>
                <w:sz w:val="18"/>
                <w:szCs w:val="18"/>
              </w:rPr>
              <w:t xml:space="preserve">SUP-P400-G2BKA1G2AW1-BDXH2412 </w:t>
            </w:r>
          </w:p>
          <w:p>
            <w:pPr>
              <w:spacing w:beforeAutospacing="0" w:afterAutospacing="0" w:line="200" w:lineRule="exact"/>
              <w:jc w:val="center"/>
              <w:rPr>
                <w:rFonts w:ascii="Times New Roman" w:eastAsia="等线" w:cs="Times New Roman" w:hAnsi="Times New Roman"/>
                <w:sz w:val="18"/>
                <w:szCs w:val="18"/>
              </w:rPr>
            </w:pPr>
            <w:r>
              <w:rPr>
                <w:rFonts w:ascii="Times New Roman" w:eastAsia="等线" w:cs="Times New Roman" w:hAnsi="Times New Roman"/>
                <w:sz w:val="18"/>
                <w:szCs w:val="18"/>
              </w:rPr>
              <w:t>传感器类型:表压；测量范围:0-1MPa；准确度:0.5级；输出及供电电源:二线制4-20mA；过程连接:G1/2外螺纹；膜片及过程连接材质:316LSS，304SS；电气接口、外壳材质及防护等级:M20×1.5缆塞，铝合金，IP65；</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1275"/>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33</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投入式液位计</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eastAsia="等线" w:cs="Times New Roman" w:hAnsi="Times New Roman"/>
                <w:sz w:val="18"/>
                <w:szCs w:val="18"/>
              </w:rPr>
            </w:pPr>
            <w:r>
              <w:rPr>
                <w:rFonts w:ascii="Times New Roman" w:eastAsia="等线" w:cs="Times New Roman" w:hAnsi="Times New Roman"/>
                <w:sz w:val="18"/>
                <w:szCs w:val="18"/>
              </w:rPr>
              <w:t xml:space="preserve">SUP-P260-B-05KA1M3105N900-BDXH2412   </w:t>
            </w:r>
          </w:p>
          <w:p>
            <w:pPr>
              <w:spacing w:beforeAutospacing="0" w:afterAutospacing="0" w:line="200" w:lineRule="exact"/>
              <w:jc w:val="center"/>
              <w:rPr>
                <w:rFonts w:ascii="Times New Roman" w:eastAsia="等线" w:cs="Times New Roman" w:hAnsi="Times New Roman"/>
                <w:sz w:val="18"/>
                <w:szCs w:val="18"/>
              </w:rPr>
            </w:pPr>
            <w:r>
              <w:rPr>
                <w:rFonts w:ascii="Times New Roman" w:eastAsia="等线" w:cs="Times New Roman" w:hAnsi="Times New Roman"/>
                <w:sz w:val="18"/>
                <w:szCs w:val="18"/>
              </w:rPr>
              <w:t>测量范围:5m；准确度:0.5级；输出及供电电源:二线制4-20mA；膜片材质:316LSS；探头材质及防护等级:304SS，IP68；线缆长度:5m；线缆护套材质:聚氯乙烯PVC；</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795"/>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34</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电极式液位计</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欧姆龙PS-4S,电极316L，电极长度（0.5m，1m，3m），配分离器、法兰。高中低液位信号输出</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35</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耐震压力表</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0-1Mpa，M20x1.5</w:t>
            </w: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个</w:t>
            </w:r>
          </w:p>
        </w:tc>
        <w:tc>
          <w:tcPr>
            <w:tcW w:w="1104"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 xml:space="preserve">1.00 </w:t>
            </w: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sz w:val="18"/>
                <w:szCs w:val="18"/>
              </w:rPr>
              <w:t>通用</w:t>
            </w:r>
          </w:p>
        </w:tc>
      </w:tr>
      <w:tr>
        <w:trPr>
          <w:trHeight w:val="453"/>
        </w:trPr>
        <w:tc>
          <w:tcPr>
            <w:tcW w:w="474"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七</w:t>
            </w:r>
          </w:p>
        </w:tc>
        <w:tc>
          <w:tcPr>
            <w:tcW w:w="1745"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r>
              <w:rPr>
                <w:rFonts w:ascii="Times New Roman" w:eastAsia="等线" w:cs="Times New Roman" w:hAnsi="Times New Roman"/>
                <w:b/>
                <w:bCs/>
                <w:i w:val="0"/>
                <w:sz w:val="18"/>
                <w:szCs w:val="18"/>
              </w:rPr>
              <w:t>半年合计</w:t>
            </w:r>
          </w:p>
        </w:tc>
        <w:tc>
          <w:tcPr>
            <w:tcW w:w="3716"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597"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104"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077" w:type="dxa"/>
            <w:gridSpan w:val="2"/>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1255" w:type="dxa"/>
            <w:tcBorders>
              <w:top w:val="single" w:sz="6" w:space="0" w:color="auto"/>
              <w:left w:val="single" w:sz="6" w:space="0" w:color="auto"/>
              <w:bottom w:val="single" w:sz="6" w:space="0" w:color="auto"/>
              <w:right w:val="nil"/>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c>
          <w:tcPr>
            <w:tcW w:w="982" w:type="dxa"/>
            <w:tcBorders>
              <w:top w:val="single" w:sz="6" w:space="0" w:color="auto"/>
              <w:left w:val="single" w:sz="6" w:space="0" w:color="auto"/>
              <w:bottom w:val="single" w:sz="6" w:space="0" w:color="auto"/>
              <w:right w:val="single" w:sz="6" w:space="0" w:color="auto"/>
              <w:tl2br w:val="nil"/>
              <w:tr2bl w:val="nil"/>
            </w:tcBorders>
            <w:noWrap/>
            <w:vAlign w:val="center"/>
          </w:tcPr>
          <w:p>
            <w:pPr>
              <w:spacing w:beforeAutospacing="0" w:afterAutospacing="0" w:line="200" w:lineRule="exact"/>
              <w:jc w:val="center"/>
              <w:rPr>
                <w:rFonts w:ascii="Times New Roman" w:cs="Times New Roman" w:hAnsi="Times New Roman"/>
                <w:sz w:val="18"/>
                <w:szCs w:val="18"/>
              </w:rPr>
            </w:pPr>
          </w:p>
        </w:tc>
      </w:tr>
    </w:tbl>
    <w:p>
      <w:pPr>
        <w:spacing w:line="560" w:lineRule="exact"/>
        <w:ind w:firstLineChars="200" w:firstLine="560"/>
        <w:rPr>
          <w:rFonts w:ascii="Times New Roman" w:eastAsia="方正仿宋_GBK" w:cs="Times New Roman" w:hAnsi="Times New Roman"/>
          <w:sz w:val="24"/>
        </w:rPr>
      </w:pPr>
      <w:r>
        <w:rPr>
          <w:rFonts w:ascii="Times New Roman" w:eastAsia="方正仿宋_GBK" w:cs="Times New Roman" w:hAnsi="Times New Roman"/>
          <w:sz w:val="28"/>
          <w:szCs w:val="28"/>
        </w:rPr>
        <w:t>2.</w:t>
      </w:r>
      <w:r>
        <w:rPr>
          <w:rFonts w:ascii="Times New Roman" w:eastAsia="方正仿宋_GBK" w:cs="Times New Roman" w:hAnsi="Times New Roman"/>
          <w:sz w:val="24"/>
        </w:rPr>
        <w:t>本合同为单价固定合同。甲方根据生产需求向乙方分批次购买易损件，购买单价不变，按照每次购买数量据实结算，甲方每次支付合同价款前，乙方需提供对应金额的增值税专用发票。</w:t>
      </w:r>
    </w:p>
    <w:p>
      <w:pPr>
        <w:spacing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3.暂按两年用量确定合同总价，共计约人民币  元（大写：），增值税税率 %，其中不含增值税总价人民币   元（大写：），增值税税额为人民币元（大写：）。实际结算金额以实际供货数量为准。</w:t>
      </w:r>
    </w:p>
    <w:p>
      <w:pPr>
        <w:spacing w:line="560" w:lineRule="exact"/>
        <w:ind w:firstLineChars="200" w:firstLine="480"/>
        <w:rPr>
          <w:rFonts w:ascii="Times New Roman" w:eastAsia="方正黑体_GBK" w:cs="Times New Roman" w:hAnsi="Times New Roman"/>
          <w:sz w:val="24"/>
        </w:rPr>
      </w:pPr>
      <w:r>
        <w:rPr>
          <w:rFonts w:ascii="Times New Roman" w:eastAsia="方正黑体_GBK" w:cs="Times New Roman" w:hAnsi="Times New Roman"/>
          <w:sz w:val="24"/>
        </w:rPr>
        <w:t>三、质量标准</w:t>
      </w:r>
    </w:p>
    <w:p>
      <w:pPr>
        <w:spacing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产品符合国家生产定制标准。</w:t>
      </w:r>
    </w:p>
    <w:p>
      <w:pPr>
        <w:spacing w:line="560" w:lineRule="exact"/>
        <w:ind w:firstLineChars="200" w:firstLine="480"/>
        <w:rPr>
          <w:rFonts w:ascii="Times New Roman" w:eastAsia="方正黑体_GBK" w:cs="Times New Roman" w:hAnsi="Times New Roman"/>
          <w:sz w:val="24"/>
        </w:rPr>
      </w:pPr>
      <w:r>
        <w:rPr>
          <w:rFonts w:ascii="Times New Roman" w:eastAsia="方正黑体_GBK" w:cs="Times New Roman" w:hAnsi="Times New Roman"/>
          <w:sz w:val="24"/>
        </w:rPr>
        <w:t>四、交货时间、方式、地点</w:t>
      </w:r>
    </w:p>
    <w:p>
      <w:pPr>
        <w:spacing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1.甲方根据生产需求向乙方分批次购买易损件，每次购买前甲方需向乙方提供盖章确认的购买清单，乙方于收到购买清单3日内发货，发货后7个工作日内以汽运至甲方指定场地，运费由乙方自理，甲方负责卸货。</w:t>
      </w:r>
    </w:p>
    <w:p>
      <w:pPr>
        <w:spacing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2.交货地点：重庆城市综合交通枢纽（集团）有限公司高新区盾构渣集中处置中心。乙方发货到甲方指定交货场地后，甲方负责在24小时内开始进行清点、验收等相关工作。</w:t>
      </w:r>
    </w:p>
    <w:p>
      <w:pPr>
        <w:spacing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3.甲方对乙方送货的数量、型号进行清点、检查，并在乙方提供的送货单上签字。对于货物数量不符合购买清单约定的，甲方有权只按照实际接收的数量签收。对于货物数量型号与购买清单约定不一致的，甲方有权只签收符合约定的部分，对不符合约定的货物由乙方负责调换，因此发生的费用由乙方自行负责。</w:t>
      </w:r>
    </w:p>
    <w:p>
      <w:pPr>
        <w:spacing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4.因上述情况导致甲方没有按照购物清单约定的数量接收货物材料的，对未接收部分的检验期间顺延，且甲方有权仅就实际接收的货物数量付款。</w:t>
      </w:r>
    </w:p>
    <w:p>
      <w:pPr>
        <w:spacing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5.乙方应按照甲方采购计划指定的时间向甲方履行交付义务，如不能够有效履行交付义务，需承担相应赔偿责任，包括但不限于甲方因此延误产生的停产损失以及临时购买其他替代材料的差价。如出现特殊情况乙方须在事故发生24小时内书面通知甲方，并经甲方认可，不可抗拒原因除外。</w:t>
      </w:r>
    </w:p>
    <w:p>
      <w:pPr>
        <w:spacing w:line="560" w:lineRule="exact"/>
        <w:ind w:firstLineChars="200" w:firstLine="480"/>
        <w:rPr>
          <w:rFonts w:ascii="Times New Roman" w:eastAsia="方正黑体_GBK" w:cs="Times New Roman" w:hAnsi="Times New Roman"/>
          <w:sz w:val="24"/>
        </w:rPr>
      </w:pPr>
      <w:r>
        <w:rPr>
          <w:rFonts w:ascii="Times New Roman" w:eastAsia="方正黑体_GBK" w:cs="Times New Roman" w:hAnsi="Times New Roman"/>
          <w:sz w:val="24"/>
        </w:rPr>
        <w:t>五、验收条款</w:t>
      </w:r>
    </w:p>
    <w:p>
      <w:pPr>
        <w:spacing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1.甲方在收货当日对产品外观及配件清单进行检查确认，甲方的质量检验仅限于对该产品的外观或明显质量瑕疵（如：损坏、变质等）进行检验。对于甲方检验后出现的该货物材料内在的、不易发现的质量问题，乙方需依法在该产品的质量保证期内承担相应的质量保证责任。</w:t>
      </w:r>
    </w:p>
    <w:p>
      <w:pPr>
        <w:spacing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 xml:space="preserve">2.交货时乙方提供相关资料：材料清单及报价；材料质检报告等。             </w:t>
      </w:r>
    </w:p>
    <w:p>
      <w:pPr>
        <w:spacing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3.在验收过程中发现质量问题，甲方须在48小时内通知乙方，提出质量问题，以便乙方派人进行确认，若货物不符合本合同约定，乙方需对不合格产品进行修复或更换，由乙方负责来回运费。甲方应当在检验期间内将货物材料的存在外观上或其他明显质量瑕疵的情形通知乙方。</w:t>
      </w:r>
    </w:p>
    <w:p>
      <w:pPr>
        <w:spacing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4.在乙方将货物材料运送至甲方指定的地点之前，无论甲方付款与否，该货物材料的损毁、灭失等一切风险均由乙方承担，在甲方检验并在送货单上签字确认接收后，该风险转移给甲方。</w:t>
      </w:r>
    </w:p>
    <w:p>
      <w:pPr>
        <w:spacing w:line="560" w:lineRule="exact"/>
        <w:ind w:firstLineChars="200" w:firstLine="480"/>
        <w:rPr>
          <w:rFonts w:ascii="Times New Roman" w:eastAsia="方正黑体_GBK" w:cs="Times New Roman" w:hAnsi="Times New Roman"/>
          <w:sz w:val="24"/>
        </w:rPr>
      </w:pPr>
      <w:r>
        <w:rPr>
          <w:rFonts w:ascii="Times New Roman" w:eastAsia="方正仿宋_GBK" w:cs="Times New Roman" w:hAnsi="Times New Roman"/>
          <w:sz w:val="24"/>
        </w:rPr>
        <w:t>5.甲方指定接收人员在送货单上签字的行为，视为乙方完成了交付义务。但上述行为仅表明甲方接收了乙方发送的如该清单所列的数量、型号等货物材料，并不表示甲方已经检验完毕。</w:t>
      </w:r>
    </w:p>
    <w:p>
      <w:pPr>
        <w:spacing w:line="560" w:lineRule="exact"/>
        <w:ind w:firstLineChars="200" w:firstLine="480"/>
        <w:rPr>
          <w:rFonts w:ascii="Times New Roman" w:eastAsia="方正黑体_GBK" w:cs="Times New Roman" w:hAnsi="Times New Roman"/>
          <w:sz w:val="24"/>
        </w:rPr>
      </w:pPr>
      <w:r>
        <w:rPr>
          <w:rFonts w:ascii="Times New Roman" w:eastAsia="方正黑体_GBK" w:cs="Times New Roman" w:hAnsi="Times New Roman"/>
          <w:sz w:val="24"/>
        </w:rPr>
        <w:t>六、结算方式、时间期限</w:t>
      </w:r>
    </w:p>
    <w:p>
      <w:pPr>
        <w:spacing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1.前述半年用量清单表为甲方预估数量，具体购买数量以甲方申购为准。</w:t>
      </w:r>
    </w:p>
    <w:p>
      <w:pPr>
        <w:spacing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2.甲方每次购买前需向乙方提供盖章确认的购买清单，货到甲方指定的交货地点且经甲方验收合格后，15个工作日内一次性付清该次采购全部货款。 每次付款前乙方需提供对应金额的增值税专用发票。</w:t>
      </w:r>
    </w:p>
    <w:p>
      <w:pPr>
        <w:spacing w:line="560" w:lineRule="exact"/>
        <w:ind w:firstLineChars="200" w:firstLine="480"/>
        <w:rPr>
          <w:rFonts w:ascii="Times New Roman" w:eastAsia="方正黑体_GBK" w:cs="Times New Roman" w:hAnsi="Times New Roman"/>
          <w:sz w:val="24"/>
        </w:rPr>
      </w:pPr>
      <w:r>
        <w:rPr>
          <w:rFonts w:ascii="Times New Roman" w:eastAsia="方正黑体_GBK" w:cs="Times New Roman" w:hAnsi="Times New Roman"/>
          <w:sz w:val="24"/>
        </w:rPr>
        <w:t>七、产品保修期</w:t>
      </w:r>
    </w:p>
    <w:p>
      <w:pPr>
        <w:spacing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自货物验收合格后3个月。</w:t>
      </w:r>
    </w:p>
    <w:p>
      <w:pPr>
        <w:spacing w:line="560" w:lineRule="exact"/>
        <w:ind w:firstLineChars="200" w:firstLine="480"/>
        <w:rPr>
          <w:rFonts w:ascii="Times New Roman" w:eastAsia="方正黑体_GBK" w:cs="Times New Roman" w:hAnsi="Times New Roman"/>
          <w:sz w:val="24"/>
        </w:rPr>
      </w:pPr>
      <w:r>
        <w:rPr>
          <w:rFonts w:ascii="Times New Roman" w:eastAsia="方正黑体_GBK" w:cs="Times New Roman" w:hAnsi="Times New Roman"/>
          <w:sz w:val="24"/>
        </w:rPr>
        <w:t>八、知识产权约定</w:t>
      </w:r>
    </w:p>
    <w:p>
      <w:pPr>
        <w:spacing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双方应对所获悉的对方的经营、管理、财务、技术信息及合同洽谈、签订、履行及其他内容保密，前述保密义务不因合同解除或终止而免除，合同洽谈、签订、履行过程所形成的信息、数据、资料的申请知识产权的权利、知识产权申请权、知识产权及其他所有权归乙方所有。</w:t>
      </w:r>
    </w:p>
    <w:p>
      <w:pPr>
        <w:spacing w:line="560" w:lineRule="exact"/>
        <w:ind w:firstLineChars="200" w:firstLine="480"/>
        <w:rPr>
          <w:rFonts w:ascii="Times New Roman" w:eastAsia="方正黑体_GBK" w:cs="Times New Roman" w:hAnsi="Times New Roman"/>
          <w:sz w:val="24"/>
        </w:rPr>
      </w:pPr>
      <w:r>
        <w:rPr>
          <w:rFonts w:ascii="Times New Roman" w:eastAsia="方正黑体_GBK" w:cs="Times New Roman" w:hAnsi="Times New Roman"/>
          <w:sz w:val="24"/>
        </w:rPr>
        <w:t>九、违约责任</w:t>
      </w:r>
    </w:p>
    <w:p>
      <w:pPr>
        <w:spacing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甲方逾期或未全额支付货款的，乙方有权将产品取回，已付定金及货款作产品损耗费不予退还。甲方按应付金额每日0.1‰向乙方支付违约金，违约金最多不超过该批货物总价的20%。逾期超过30日的还应承担乙方律师费、诉讼费、鉴定费、调查费、差旅费等维权合理支出。</w:t>
      </w:r>
    </w:p>
    <w:p>
      <w:pPr>
        <w:spacing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乙方逾期未完成交货，按照应付金额每日0.1‰向甲方支付违约金，违约金最多不超过该批货物总价的20%。若乙方因产品外观或质量问题导致未按时交货，则乙方还应承担甲方因误工造成的生产损失，逾期超过30日乙方还未按要求交货，甲方有权单方解除本合同，乙方还应承担甲方律师费、诉讼费、鉴定费、调查费、差旅费等维权合理支出。</w:t>
      </w:r>
    </w:p>
    <w:p>
      <w:pPr>
        <w:spacing w:line="560" w:lineRule="exact"/>
        <w:ind w:firstLineChars="200" w:firstLine="480"/>
        <w:rPr>
          <w:rFonts w:ascii="Times New Roman" w:eastAsia="方正黑体_GBK" w:cs="Times New Roman" w:hAnsi="Times New Roman"/>
          <w:sz w:val="24"/>
        </w:rPr>
      </w:pPr>
      <w:r>
        <w:rPr>
          <w:rFonts w:ascii="Times New Roman" w:eastAsia="方正黑体_GBK" w:cs="Times New Roman" w:hAnsi="Times New Roman"/>
          <w:sz w:val="24"/>
        </w:rPr>
        <w:t>十、其他约定</w:t>
      </w:r>
    </w:p>
    <w:p>
      <w:pPr>
        <w:spacing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若有采购清单以外需要委托乙方购买的物资，由甲方自行询价，按甲乙双方认可的价格委托乙方采购，结算方式据实结算。</w:t>
      </w:r>
    </w:p>
    <w:p>
      <w:pPr>
        <w:spacing w:line="560" w:lineRule="exact"/>
        <w:ind w:firstLineChars="200" w:firstLine="480"/>
        <w:rPr>
          <w:rFonts w:ascii="Times New Roman" w:eastAsia="方正黑体_GBK" w:cs="Times New Roman" w:hAnsi="Times New Roman"/>
          <w:sz w:val="24"/>
        </w:rPr>
      </w:pPr>
      <w:r>
        <w:rPr>
          <w:rFonts w:ascii="Times New Roman" w:eastAsia="方正黑体_GBK" w:cs="Times New Roman" w:hAnsi="Times New Roman"/>
          <w:sz w:val="24"/>
        </w:rPr>
        <w:t>十一、合同争议的解决方式</w:t>
      </w:r>
    </w:p>
    <w:p>
      <w:pPr>
        <w:spacing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发生争议协商解决；协商不成则交甲方所在地人民法院诉讼处理，合同列明地址为有效送达地址。</w:t>
      </w:r>
    </w:p>
    <w:p>
      <w:pPr>
        <w:spacing w:beforeAutospacing="0" w:afterAutospacing="0"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甲方： 重庆城市综合交通枢纽（集团）有限公司</w:t>
      </w:r>
    </w:p>
    <w:p>
      <w:pPr>
        <w:spacing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诉讼文书送达地址：重庆市渝北区泰山大道东段梧桐路6号交通开投大厦</w:t>
      </w:r>
    </w:p>
    <w:p>
      <w:pPr>
        <w:spacing w:line="560" w:lineRule="exact"/>
        <w:ind w:firstLineChars="200" w:firstLine="480"/>
        <w:rPr>
          <w:rFonts w:ascii="Times New Roman" w:eastAsia="方正仿宋_GBK" w:cs="Times New Roman" w:hAnsi="Times New Roman"/>
          <w:sz w:val="24"/>
          <w:lang w:bidi="ar-SA"/>
        </w:rPr>
      </w:pPr>
      <w:r>
        <w:rPr>
          <w:rFonts w:ascii="Times New Roman" w:eastAsia="方正仿宋_GBK" w:cs="Times New Roman" w:hAnsi="Times New Roman"/>
          <w:sz w:val="24"/>
          <w:lang w:bidi="ar-SA"/>
        </w:rPr>
        <w:t>乙方：</w:t>
      </w:r>
    </w:p>
    <w:p>
      <w:pPr>
        <w:spacing w:line="560" w:lineRule="exact"/>
        <w:ind w:firstLineChars="200" w:firstLine="480"/>
        <w:rPr>
          <w:rFonts w:ascii="Times New Roman" w:eastAsia="方正仿宋_GBK" w:cs="Times New Roman" w:hAnsi="Times New Roman"/>
          <w:sz w:val="24"/>
          <w:lang w:val="en-US" w:eastAsia="zh-CN" w:bidi="ar-SA"/>
        </w:rPr>
      </w:pPr>
      <w:r>
        <w:rPr>
          <w:rFonts w:ascii="Times New Roman" w:eastAsia="方正仿宋_GBK" w:cs="Times New Roman" w:hAnsi="Times New Roman"/>
          <w:sz w:val="24"/>
          <w:lang w:bidi="ar-SA"/>
        </w:rPr>
        <w:t>诉讼文书送达地址：</w:t>
      </w:r>
    </w:p>
    <w:p>
      <w:pPr>
        <w:spacing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该送达地址可用于接收各类诉讼文书。按照约定地址送达的，视为当事人签收；受送达人拒收的，不影响送达的效力。当事人如需变更约定送达地址，应在地址变更后3日内书面通知对方当事人；未按约定方式通知的，原约定送达地址仍为有效送达地址。</w:t>
      </w:r>
    </w:p>
    <w:p>
      <w:pPr>
        <w:spacing w:line="560" w:lineRule="exact"/>
        <w:ind w:firstLineChars="200" w:firstLine="480"/>
        <w:rPr>
          <w:rFonts w:ascii="Times New Roman" w:eastAsia="方正仿宋_GBK" w:cs="Times New Roman" w:hAnsi="Times New Roman"/>
          <w:sz w:val="28"/>
          <w:szCs w:val="28"/>
        </w:rPr>
      </w:pPr>
      <w:r>
        <w:rPr>
          <w:rStyle w:val="0"/>
          <w:rFonts w:ascii="Times New Roman" w:eastAsia="方正黑体_GBK" w:cs="Times New Roman" w:hAnsi="Times New Roman"/>
          <w:sz w:val="24"/>
        </w:rPr>
        <w:t>十二、</w:t>
      </w:r>
      <w:r>
        <w:rPr>
          <w:rFonts w:ascii="Times New Roman" w:eastAsia="方正黑体_GBK" w:cs="Times New Roman" w:hAnsi="Times New Roman"/>
          <w:sz w:val="24"/>
        </w:rPr>
        <w:t>本合同双方签字盖章后生效，合同履行完毕后自然失效。本合同一式陆份，甲、乙双方各执叁份。</w:t>
      </w:r>
    </w:p>
    <w:p>
      <w:pPr>
        <w:spacing w:beforeAutospacing="0" w:afterAutospacing="0" w:line="560" w:lineRule="exact"/>
        <w:ind w:firstLineChars="200" w:firstLine="480"/>
        <w:rPr>
          <w:rFonts w:ascii="Times New Roman" w:eastAsia="方正仿宋_GBK" w:cs="Times New Roman" w:hAnsi="Times New Roman"/>
          <w:sz w:val="24"/>
        </w:rPr>
      </w:pPr>
      <w:r>
        <w:rPr>
          <w:rFonts w:ascii="Times New Roman" w:eastAsia="方正仿宋_GBK" w:cs="Times New Roman" w:hAnsi="Times New Roman"/>
          <w:sz w:val="24"/>
        </w:rPr>
        <w:t>附件：中标通知书</w:t>
      </w:r>
    </w:p>
    <w:p>
      <w:pPr>
        <w:spacing w:beforeAutospacing="0" w:afterAutospacing="0" w:line="560" w:lineRule="exact"/>
        <w:ind w:firstLineChars="200" w:firstLine="560"/>
        <w:rPr>
          <w:rFonts w:ascii="Times New Roman" w:eastAsia="方正仿宋_GBK" w:cs="Times New Roman" w:hAnsi="Times New Roman"/>
          <w:sz w:val="28"/>
          <w:szCs w:val="28"/>
        </w:rPr>
      </w:pPr>
      <w:r>
        <w:rPr>
          <w:rFonts w:ascii="Times New Roman" w:eastAsia="方正仿宋_GBK" w:cs="Times New Roman" w:hAnsi="Times New Roman"/>
          <w:sz w:val="28"/>
          <w:szCs w:val="28"/>
        </w:rPr>
        <w:br w:type="page"/>
      </w:r>
    </w:p>
    <w:p>
      <w:pPr>
        <w:pStyle w:val="23"/>
        <w:ind w:left="0" w:firstLine="0"/>
        <w:jc w:val="left"/>
        <w:rPr>
          <w:rFonts w:ascii="Times New Roman" w:eastAsia="方正仿宋_GBK" w:cs="Times New Roman" w:hAnsi="Times New Roman"/>
          <w:sz w:val="28"/>
          <w:szCs w:val="28"/>
        </w:rPr>
      </w:pPr>
      <w:r>
        <w:rPr>
          <w:rFonts w:ascii="Times New Roman" w:eastAsia="方正仿宋_GBK" w:cs="Times New Roman" w:hAnsi="Times New Roman"/>
          <w:sz w:val="28"/>
          <w:szCs w:val="28"/>
        </w:rPr>
        <w:t>（此页无正文）</w:t>
      </w:r>
    </w:p>
    <w:tbl>
      <w:tblPr>
        <w:jc w:val="center"/>
        <w:tblW w:w="8724"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Look w:val="04A0" w:firstRow="1" w:lastRow="0" w:firstColumn="1" w:lastColumn="0" w:noHBand="0" w:noVBand="1"/>
      </w:tblPr>
      <w:tblGrid>
        <w:gridCol w:w="4647"/>
        <w:gridCol w:w="4650"/>
      </w:tblGrid>
      <w:tr>
        <w:trPr>
          <w:trHeight w:val="808"/>
        </w:trPr>
        <w:tc>
          <w:tcPr>
            <w:tcW w:w="4361" w:type="dxa"/>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甲方：（公章）重庆城市综合交通枢纽（集团）有限公司</w:t>
            </w:r>
          </w:p>
        </w:tc>
        <w:tc>
          <w:tcPr>
            <w:tcW w:w="4364" w:type="dxa"/>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Chars="250" w:left="525"/>
              <w:textAlignment w:val="baseline"/>
              <w:rPr>
                <w:rFonts w:ascii="Times New Roman" w:eastAsia="方正仿宋_GBK" w:cs="Times New Roman" w:hAnsi="Times New Roman"/>
                <w:spacing w:val="-6"/>
                <w:sz w:val="28"/>
                <w:szCs w:val="28"/>
                <w:lang w:val="en-US" w:eastAsia="zh-CN"/>
              </w:rPr>
            </w:pPr>
            <w:r>
              <w:rPr>
                <w:rFonts w:ascii="Times New Roman" w:eastAsia="方正仿宋_GBK" w:cs="Times New Roman" w:hAnsi="Times New Roman"/>
                <w:spacing w:val="-6"/>
                <w:sz w:val="28"/>
                <w:szCs w:val="28"/>
              </w:rPr>
              <w:t>乙方：（公章）</w:t>
            </w:r>
          </w:p>
        </w:tc>
      </w:tr>
      <w:tr>
        <w:trPr>
          <w:trHeight w:val="931"/>
        </w:trPr>
        <w:tc>
          <w:tcPr>
            <w:tcW w:w="4361" w:type="dxa"/>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法定代表人：</w:t>
            </w:r>
          </w:p>
        </w:tc>
        <w:tc>
          <w:tcPr>
            <w:tcW w:w="4364" w:type="dxa"/>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firstLineChars="200" w:firstLine="536"/>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法定代表人：</w:t>
            </w:r>
          </w:p>
        </w:tc>
      </w:tr>
      <w:tr>
        <w:trPr>
          <w:trHeight w:val="982"/>
        </w:trPr>
        <w:tc>
          <w:tcPr>
            <w:tcW w:w="4361" w:type="dxa"/>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委托代理人：</w:t>
            </w:r>
          </w:p>
        </w:tc>
        <w:tc>
          <w:tcPr>
            <w:tcW w:w="4364" w:type="dxa"/>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firstLineChars="200" w:firstLine="536"/>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委托代理人：</w:t>
            </w:r>
          </w:p>
        </w:tc>
      </w:tr>
      <w:tr>
        <w:trPr>
          <w:trHeight w:val="690"/>
        </w:trPr>
        <w:tc>
          <w:tcPr>
            <w:tcW w:w="4361" w:type="dxa"/>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部门负责人：</w:t>
            </w: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经办人：</w:t>
            </w: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电      话：</w:t>
            </w:r>
            <w:r>
              <w:rPr>
                <w:rFonts w:ascii="Times New Roman" w:eastAsia="方正仿宋_GBK" w:cs="Times New Roman" w:hAnsi="Times New Roman"/>
                <w:snapToGrid w:val="0"/>
                <w:color w:val="auto"/>
                <w:kern w:val="0"/>
                <w:sz w:val="28"/>
                <w:szCs w:val="28"/>
                <w:u w:val="single"/>
                <w:lang w:val="en-US" w:eastAsia="zh-CN" w:bidi="ar-SA"/>
                <w:highlight w:val="auto"/>
              </w:rPr>
              <w:t>88602665</w:t>
            </w:r>
          </w:p>
        </w:tc>
        <w:tc>
          <w:tcPr>
            <w:tcW w:w="4364" w:type="dxa"/>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firstLineChars="200" w:firstLine="536"/>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firstLineChars="200" w:firstLine="536"/>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firstLineChars="200" w:firstLine="536"/>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firstLineChars="200" w:firstLine="536"/>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firstLineChars="200" w:firstLine="536"/>
              <w:textAlignment w:val="baseline"/>
              <w:rPr>
                <w:rFonts w:ascii="Times New Roman" w:eastAsia="方正仿宋_GBK" w:cs="Times New Roman" w:hAnsi="Times New Roman"/>
                <w:spacing w:val="-6"/>
                <w:sz w:val="28"/>
                <w:szCs w:val="28"/>
                <w:lang w:val="en-US" w:eastAsia="zh-CN"/>
              </w:rPr>
            </w:pPr>
            <w:r>
              <w:rPr>
                <w:rFonts w:ascii="Times New Roman" w:eastAsia="方正仿宋_GBK" w:cs="Times New Roman" w:hAnsi="Times New Roman"/>
                <w:spacing w:val="-6"/>
                <w:sz w:val="28"/>
                <w:szCs w:val="28"/>
              </w:rPr>
              <w:t>电      话</w:t>
            </w:r>
            <w:r>
              <w:rPr>
                <w:rFonts w:ascii="Times New Roman" w:eastAsia="方正仿宋_GBK" w:cs="Times New Roman" w:hAnsi="Times New Roman"/>
                <w:spacing w:val="-6"/>
                <w:sz w:val="28"/>
                <w:szCs w:val="28"/>
                <w:lang w:eastAsia="zh-CN"/>
              </w:rPr>
              <w:t>：</w:t>
            </w:r>
          </w:p>
        </w:tc>
      </w:tr>
      <w:tr>
        <w:trPr>
          <w:trHeight w:val="657"/>
        </w:trPr>
        <w:tc>
          <w:tcPr>
            <w:tcW w:w="4361" w:type="dxa"/>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传      真：</w:t>
            </w:r>
          </w:p>
        </w:tc>
        <w:tc>
          <w:tcPr>
            <w:tcW w:w="4364" w:type="dxa"/>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firstLineChars="200" w:firstLine="536"/>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firstLineChars="200" w:firstLine="536"/>
              <w:textAlignment w:val="baseline"/>
              <w:rPr>
                <w:rFonts w:ascii="Times New Roman" w:eastAsia="方正仿宋_GBK" w:cs="Times New Roman" w:hAnsi="Times New Roman"/>
                <w:spacing w:val="-6"/>
                <w:sz w:val="28"/>
                <w:szCs w:val="28"/>
                <w:lang w:val="en-US" w:eastAsia="zh-CN"/>
              </w:rPr>
            </w:pPr>
            <w:r>
              <w:rPr>
                <w:rFonts w:ascii="Times New Roman" w:eastAsia="方正仿宋_GBK" w:cs="Times New Roman" w:hAnsi="Times New Roman"/>
                <w:spacing w:val="-6"/>
                <w:sz w:val="28"/>
                <w:szCs w:val="28"/>
              </w:rPr>
              <w:t>传      真：</w:t>
            </w:r>
          </w:p>
        </w:tc>
      </w:tr>
      <w:tr>
        <w:trPr>
          <w:trHeight w:val="832"/>
        </w:trPr>
        <w:tc>
          <w:tcPr>
            <w:tcW w:w="4361" w:type="dxa"/>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住      所：</w:t>
            </w:r>
            <w:r>
              <w:rPr>
                <w:rFonts w:ascii="Times New Roman" w:eastAsia="方正仿宋_GBK" w:cs="Times New Roman" w:hAnsi="Times New Roman"/>
                <w:snapToGrid w:val="0"/>
                <w:color w:val="auto"/>
                <w:kern w:val="0"/>
                <w:sz w:val="28"/>
                <w:szCs w:val="28"/>
                <w:u w:val="single"/>
                <w:lang w:val="en-US" w:eastAsia="zh-CN" w:bidi="ar-SA"/>
                <w:highlight w:val="auto"/>
              </w:rPr>
              <w:t>重庆市渝中区健康路花园大厦 B 栋 6 楼</w:t>
            </w:r>
          </w:p>
        </w:tc>
        <w:tc>
          <w:tcPr>
            <w:tcW w:w="4364" w:type="dxa"/>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Chars="250" w:left="525"/>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住      所：</w:t>
            </w:r>
          </w:p>
        </w:tc>
      </w:tr>
      <w:tr>
        <w:trPr>
          <w:trHeight w:val="833"/>
        </w:trPr>
        <w:tc>
          <w:tcPr>
            <w:tcW w:w="4361" w:type="dxa"/>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开 户 银 行：</w:t>
            </w:r>
            <w:r>
              <w:rPr>
                <w:rFonts w:ascii="Times New Roman" w:eastAsia="方正仿宋_GBK" w:cs="Times New Roman" w:hAnsi="Times New Roman"/>
                <w:snapToGrid w:val="0"/>
                <w:color w:val="auto"/>
                <w:kern w:val="0"/>
                <w:sz w:val="28"/>
                <w:szCs w:val="28"/>
                <w:u w:val="single"/>
                <w:lang w:val="en-US" w:eastAsia="zh-CN" w:bidi="ar-SA"/>
                <w:highlight w:val="auto"/>
              </w:rPr>
              <w:t>浦发银行解放碑支行</w:t>
            </w:r>
          </w:p>
        </w:tc>
        <w:tc>
          <w:tcPr>
            <w:tcW w:w="4364" w:type="dxa"/>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firstLineChars="200" w:firstLine="536"/>
              <w:textAlignment w:val="baseline"/>
              <w:rPr>
                <w:rFonts w:ascii="Times New Roman" w:eastAsia="方正仿宋_GBK" w:cs="Times New Roman" w:hAnsi="Times New Roman"/>
                <w:spacing w:val="-6"/>
                <w:sz w:val="28"/>
                <w:szCs w:val="28"/>
                <w:lang w:val="en-US" w:eastAsia="zh-CN"/>
              </w:rPr>
            </w:pPr>
            <w:r>
              <w:rPr>
                <w:rFonts w:ascii="Times New Roman" w:eastAsia="方正仿宋_GBK" w:cs="Times New Roman" w:hAnsi="Times New Roman"/>
                <w:spacing w:val="-6"/>
                <w:sz w:val="28"/>
                <w:szCs w:val="28"/>
              </w:rPr>
              <w:t>开 户 银 行：</w:t>
            </w:r>
          </w:p>
        </w:tc>
      </w:tr>
      <w:tr>
        <w:trPr>
          <w:trHeight w:val="932"/>
        </w:trPr>
        <w:tc>
          <w:tcPr>
            <w:tcW w:w="4361" w:type="dxa"/>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帐       号：</w:t>
            </w:r>
            <w:r>
              <w:rPr>
                <w:rFonts w:ascii="Times New Roman" w:eastAsia="方正仿宋_GBK" w:cs="Times New Roman" w:hAnsi="Times New Roman"/>
                <w:snapToGrid w:val="0"/>
                <w:color w:val="auto"/>
                <w:w w:val="100"/>
                <w:kern w:val="0"/>
                <w:sz w:val="28"/>
                <w:szCs w:val="28"/>
                <w:u w:val="single"/>
                <w:highlight w:val="auto"/>
              </w:rPr>
              <w:t xml:space="preserve"> </w:t>
            </w:r>
            <w:r>
              <w:rPr>
                <w:rFonts w:ascii="Times New Roman" w:eastAsia="方正仿宋_GBK" w:cs="Times New Roman" w:hAnsi="Times New Roman"/>
                <w:snapToGrid w:val="0"/>
                <w:color w:val="auto"/>
                <w:kern w:val="0"/>
                <w:sz w:val="28"/>
                <w:szCs w:val="28"/>
                <w:u w:val="single"/>
                <w:lang w:val="en-US" w:eastAsia="zh-CN" w:bidi="ar-SA"/>
                <w:highlight w:val="auto"/>
              </w:rPr>
              <w:t xml:space="preserve">83150154900000062 </w:t>
            </w:r>
          </w:p>
        </w:tc>
        <w:tc>
          <w:tcPr>
            <w:tcW w:w="4364" w:type="dxa"/>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firstLineChars="200" w:firstLine="536"/>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帐        号：</w:t>
            </w:r>
          </w:p>
        </w:tc>
      </w:tr>
      <w:tr>
        <w:trPr>
          <w:trHeight w:val="656"/>
        </w:trPr>
        <w:tc>
          <w:tcPr>
            <w:tcW w:w="4361" w:type="dxa"/>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 xml:space="preserve">邮 政 编 码：  </w:t>
            </w:r>
          </w:p>
        </w:tc>
        <w:tc>
          <w:tcPr>
            <w:tcW w:w="4364" w:type="dxa"/>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firstLineChars="200" w:firstLine="560"/>
              <w:textAlignment w:val="baseline"/>
              <w:rPr>
                <w:rFonts w:ascii="Times New Roman" w:eastAsia="方正仿宋_GBK" w:cs="Times New Roman" w:hAnsi="Times New Roman"/>
                <w:spacing w:val="6"/>
                <w:sz w:val="28"/>
                <w:szCs w:val="28"/>
                <w:lang w:val="en-US" w:eastAsia="zh-CN"/>
              </w:rPr>
            </w:pPr>
            <w:r>
              <w:rPr>
                <w:rFonts w:ascii="Times New Roman" w:eastAsia="方正仿宋_GBK" w:cs="Times New Roman" w:hAnsi="Times New Roman"/>
                <w:spacing w:val="0"/>
                <w:sz w:val="28"/>
                <w:szCs w:val="28"/>
              </w:rPr>
              <w:t>邮 政 编 码：</w:t>
            </w:r>
          </w:p>
        </w:tc>
      </w:tr>
      <w:tr>
        <w:trPr>
          <w:trHeight w:val="578"/>
        </w:trPr>
        <w:tc>
          <w:tcPr>
            <w:tcW w:w="4361" w:type="dxa"/>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textAlignment w:val="baseline"/>
              <w:rPr>
                <w:rFonts w:ascii="Times New Roman" w:eastAsia="方正仿宋_GBK" w:cs="Times New Roman" w:hAnsi="Times New Roman"/>
                <w:spacing w:val="-6"/>
                <w:sz w:val="28"/>
                <w:szCs w:val="28"/>
              </w:rPr>
            </w:pPr>
          </w:p>
          <w:p>
            <w:pPr>
              <w:pStyle w:val="27"/>
              <w:keepNext w:val="0"/>
              <w:keepLines w:val="0"/>
              <w:pageBreakBefore w:val="0"/>
              <w:widowControl/>
              <w:kinsoku w:val="0"/>
              <w:wordWrap w:val="0"/>
              <w:overflowPunct/>
              <w:topLinePunct w:val="0"/>
              <w:autoSpaceDE w:val="0"/>
              <w:autoSpaceDN w:val="0"/>
              <w:spacing w:beforeAutospacing="0" w:afterAutospacing="0" w:line="560" w:lineRule="exact"/>
              <w:ind w:left="57" w:firstLineChars="400" w:firstLine="1072"/>
              <w:jc w:val="right"/>
              <w:rPr>
                <w:rFonts w:ascii="Times New Roman" w:eastAsia="方正仿宋_GBK" w:cs="Times New Roman" w:hAnsi="Times New Roman"/>
                <w:spacing w:val="-6"/>
                <w:sz w:val="28"/>
                <w:szCs w:val="28"/>
              </w:rPr>
            </w:pPr>
            <w:r>
              <w:rPr>
                <w:rFonts w:ascii="Times New Roman" w:eastAsia="方正仿宋_GBK" w:cs="Times New Roman" w:hAnsi="Times New Roman"/>
                <w:spacing w:val="-6"/>
                <w:sz w:val="28"/>
                <w:szCs w:val="28"/>
              </w:rPr>
              <w:t xml:space="preserve">      年 </w:t>
            </w:r>
            <w:r>
              <w:rPr>
                <w:rFonts w:ascii="Times New Roman" w:eastAsia="方正仿宋_GBK" w:cs="Times New Roman" w:hAnsi="Times New Roman"/>
                <w:spacing w:val="-6"/>
                <w:sz w:val="28"/>
                <w:szCs w:val="28"/>
                <w:lang w:val="en-US" w:eastAsia="zh-CN"/>
              </w:rPr>
              <w:t xml:space="preserve">     </w:t>
            </w:r>
            <w:r>
              <w:rPr>
                <w:rFonts w:ascii="Times New Roman" w:eastAsia="方正仿宋_GBK" w:cs="Times New Roman" w:hAnsi="Times New Roman"/>
                <w:spacing w:val="-6"/>
                <w:sz w:val="28"/>
                <w:szCs w:val="28"/>
              </w:rPr>
              <w:t xml:space="preserve">月 </w:t>
            </w:r>
            <w:r>
              <w:rPr>
                <w:rFonts w:ascii="Times New Roman" w:eastAsia="方正仿宋_GBK" w:cs="Times New Roman" w:hAnsi="Times New Roman"/>
                <w:spacing w:val="-6"/>
                <w:sz w:val="28"/>
                <w:szCs w:val="28"/>
                <w:lang w:val="en-US" w:eastAsia="zh-CN"/>
              </w:rPr>
              <w:t xml:space="preserve">    </w:t>
            </w:r>
            <w:r>
              <w:rPr>
                <w:rFonts w:ascii="Times New Roman" w:eastAsia="方正仿宋_GBK" w:cs="Times New Roman" w:hAnsi="Times New Roman"/>
                <w:spacing w:val="-6"/>
                <w:sz w:val="28"/>
                <w:szCs w:val="28"/>
              </w:rPr>
              <w:t xml:space="preserve"> 日</w:t>
            </w:r>
          </w:p>
        </w:tc>
        <w:tc>
          <w:tcPr>
            <w:tcW w:w="4364" w:type="dxa"/>
          </w:tcPr>
          <w:p>
            <w:pPr>
              <w:pStyle w:val="27"/>
              <w:keepNext w:val="0"/>
              <w:keepLines w:val="0"/>
              <w:pageBreakBefore w:val="0"/>
              <w:widowControl/>
              <w:kinsoku w:val="0"/>
              <w:wordWrap/>
              <w:overflowPunct/>
              <w:topLinePunct w:val="0"/>
              <w:autoSpaceDE w:val="0"/>
              <w:autoSpaceDN w:val="0"/>
              <w:adjustRightInd w:val="0"/>
              <w:snapToGrid w:val="0"/>
              <w:spacing w:beforeAutospacing="0" w:afterAutospacing="0" w:line="560" w:lineRule="exact"/>
              <w:ind w:left="57" w:firstLineChars="500" w:firstLine="1340"/>
              <w:jc w:val="right"/>
              <w:textAlignment w:val="baseline"/>
              <w:rPr>
                <w:rFonts w:ascii="Times New Roman" w:eastAsia="方正仿宋_GBK" w:cs="Times New Roman" w:hAnsi="Times New Roman"/>
                <w:spacing w:val="-6"/>
                <w:sz w:val="28"/>
                <w:szCs w:val="28"/>
              </w:rPr>
            </w:pPr>
          </w:p>
        </w:tc>
      </w:tr>
    </w:tbl>
    <w:p>
      <w:pPr>
        <w:spacing w:beforeAutospacing="0" w:afterAutospacing="0" w:line="560" w:lineRule="exact"/>
        <w:rPr>
          <w:rFonts w:ascii="Times New Roman" w:eastAsia="方正仿宋_GBK" w:cs="Times New Roman" w:hAnsi="Times New Roman"/>
          <w:sz w:val="28"/>
          <w:szCs w:val="28"/>
        </w:rPr>
        <w:sectPr>
          <w:pgSz w:w="11906" w:h="16839"/>
          <w:pgMar w:top="1133" w:right="1133" w:bottom="1133" w:left="1133" w:header="851" w:footer="964" w:gutter="0"/>
          <w:pgNumType/>
          <w:docGrid w:type="lines" w:linePitch="312" w:charSpace="0"/>
        </w:sectPr>
      </w:pPr>
    </w:p>
    <w:p>
      <w:pPr>
        <w:spacing w:beforeAutospacing="0" w:afterAutospacing="0" w:line="560" w:lineRule="exact"/>
        <w:rPr>
          <w:rFonts w:ascii="Times New Roman" w:eastAsia="方正仿宋_GBK" w:cs="Times New Roman" w:hAnsi="Times New Roman"/>
          <w:sz w:val="28"/>
          <w:szCs w:val="28"/>
        </w:rPr>
      </w:pPr>
      <w:r>
        <w:rPr>
          <w:rFonts w:ascii="Times New Roman" w:eastAsia="方正仿宋_GBK" w:cs="Times New Roman" w:hAnsi="Times New Roman"/>
          <w:sz w:val="28"/>
          <w:szCs w:val="28"/>
        </w:rPr>
        <w:t>附件：中标通知书</w:t>
      </w:r>
    </w:p>
    <w:p>
      <w:pPr>
        <w:pStyle w:val="15"/>
        <w:spacing w:beforeAutospacing="0" w:afterAutospacing="0" w:line="560" w:lineRule="exact"/>
        <w:rPr>
          <w:rFonts w:eastAsia="方正仿宋_GBK"/>
          <w:sz w:val="28"/>
          <w:szCs w:val="28"/>
        </w:rPr>
      </w:pPr>
    </w:p>
    <w:p>
      <w:pPr>
        <w:pStyle w:val="15"/>
        <w:spacing w:beforeAutospacing="0" w:afterAutospacing="0" w:line="560" w:lineRule="exact"/>
        <w:rPr>
          <w:rFonts w:eastAsia="方正仿宋_GBK"/>
          <w:sz w:val="28"/>
          <w:szCs w:val="28"/>
        </w:rPr>
      </w:pPr>
    </w:p>
    <w:p>
      <w:pPr>
        <w:jc w:val="center"/>
        <w:rPr>
          <w:rFonts w:ascii="Times New Roman" w:eastAsia="方正仿宋_GBK" w:cs="Times New Roman" w:hAnsi="Times New Roman"/>
          <w:sz w:val="28"/>
          <w:szCs w:val="28"/>
        </w:rPr>
      </w:pPr>
      <w:r>
        <w:rPr>
          <w:rFonts w:ascii="Times New Roman" w:eastAsia="宋体" w:cs="Times New Roman" w:hAnsi="Times New Roman"/>
          <w:sz w:val="32"/>
          <w:szCs w:val="32"/>
        </w:rPr>
        <w:t xml:space="preserve">                </w:t>
      </w:r>
      <w:r>
        <w:rPr>
          <w:rFonts w:ascii="Times New Roman" w:eastAsia="方正仿宋_GBK" w:cs="Times New Roman" w:hAnsi="Times New Roman"/>
          <w:sz w:val="28"/>
          <w:szCs w:val="28"/>
        </w:rPr>
        <w:t>重庆城市综合交通枢纽（集团）有限公司</w:t>
      </w:r>
    </w:p>
    <w:p>
      <w:pPr>
        <w:pStyle w:val="15"/>
        <w:rPr>
          <w:rFonts w:eastAsia="方正仿宋_GBK"/>
          <w:sz w:val="28"/>
          <w:szCs w:val="28"/>
        </w:rPr>
      </w:pPr>
      <w:r>
        <w:rPr>
          <w:rFonts w:eastAsia="方正仿宋_GBK"/>
          <w:sz w:val="28"/>
          <w:szCs w:val="28"/>
        </w:rPr>
        <w:t xml:space="preserve">                                    2025年3月  日</w:t>
      </w:r>
    </w:p>
    <w:sectPr>
      <w:footerReference w:type="default" r:id="rId2"/>
      <w:pgSz w:w="11906" w:h="16839"/>
      <w:pgMar w:top="1133" w:right="1133" w:bottom="1133" w:left="1133" w:header="851" w:footer="992" w:gutter="0"/>
      <w:pgNumType w:fmt="numberInDash"/>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variable"/>
    <w:sig w:usb0="00000001" w:usb1="080E0000" w:usb2="00000010" w:usb3="00000000" w:csb0="00040000" w:csb1="00000000"/>
  </w:font>
  <w:font w:name="仿宋_GB2312">
    <w:altName w:val="MS Mincho"/>
    <w:panose1 w:val="00000000000000000000"/>
    <w:charset w:val="86"/>
    <w:family w:val="modern"/>
    <w:pitch w:val="variable"/>
    <w:sig w:usb0="00000000" w:usb1="00000000" w:usb2="00000000" w:usb3="00000000" w:csb0="00000000" w:csb1="00000000"/>
  </w:font>
  <w:font w:name="方正仿宋_GBK">
    <w:panose1 w:val="03000509000000000000"/>
    <w:charset w:val="86"/>
    <w:family w:val="script"/>
    <w:pitch w:val="variable"/>
    <w:sig w:usb0="00000001" w:usb1="080E0000" w:usb2="00000010" w:usb3="00000000" w:csb0="00040000" w:csb1="00000000"/>
  </w:font>
  <w:font w:name="楷体">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000001F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tabs>
        <w:tab w:val="center" w:pos="4153"/>
        <w:tab w:val="right" w:pos="8306"/>
      </w:tabs>
    </w:pPr>
    <w:r>
      <mc:AlternateContent>
        <mc:Choice Requires="wps">
          <w:drawing>
            <wp:anchor distT="0" distB="0" distL="114300" distR="114300" simplePos="0" relativeHeight="14" behindDoc="0" locked="0" layoutInCell="1" hidden="0" allowOverlap="1">
              <wp:simplePos x="0" y="0"/>
              <wp:positionH relativeFrom="margin">
                <wp:align>center</wp:align>
              </wp:positionH>
              <wp:positionV relativeFrom="paragraph">
                <wp:posOffset>0</wp:posOffset>
              </wp:positionV>
              <wp:extent cx="609600" cy="263524"/>
              <wp:effectExtent l="0" t="0" r="0" b="0"/>
              <wp:wrapNone/>
              <wp:docPr id="4097" name="文本框 1"/>
              <wp:cNvGraphicFramePr>
                <a:graphicFrameLocks noChangeAspect="0"/>
              </wp:cNvGraphicFramePr>
              <a:graphic>
                <a:graphicData uri="http://schemas.microsoft.com/office/word/2010/wordprocessingShape">
                  <wps:wsp>
                    <wps:cNvSpPr/>
                    <wps:spPr>
                      <a:xfrm rot="0">
                        <a:off x="0" y="0"/>
                        <a:ext cx="609600" cy="263524"/>
                      </a:xfrm>
                      <a:prstGeom prst="rect"/>
                      <a:noFill/>
                      <a:ln w="9525" cmpd="sng" cap="flat">
                        <a:noFill/>
                        <a:prstDash val="solid"/>
                        <a:miter/>
                      </a:ln>
                    </wps:spPr>
                    <wps:txbx id="5">
                      <w:txbxContent>
                        <w:p>
                          <w:pPr>
                            <w:pStyle w:val="17"/>
                            <w:tabs>
                              <w:tab w:val="center" w:pos="4153"/>
                              <w:tab w:val="right" w:pos="8306"/>
                            </w:tabs>
                            <w:rPr>
                              <w:rFonts w:ascii="宋体" w:eastAsia="宋体" w:cs="宋体" w:hAnsi="宋体"/>
                              <w:sz w:val="32"/>
                              <w:szCs w:val="32"/>
                            </w:rPr>
                          </w:pPr>
                          <w:r>
                            <w:rPr>
                              <w:rFonts w:ascii="宋体" w:eastAsia="宋体" w:cs="宋体" w:hAnsi="宋体" w:hint="eastAsia"/>
                              <w:sz w:val="32"/>
                              <w:szCs w:val="32"/>
                            </w:rPr>
                            <w:fldChar w:fldCharType="begin"/>
                          </w:r>
                          <w:r>
                            <w:rPr>
                              <w:rFonts w:ascii="宋体" w:eastAsia="宋体" w:cs="宋体" w:hAnsi="宋体" w:hint="eastAsia"/>
                              <w:sz w:val="32"/>
                              <w:szCs w:val="32"/>
                            </w:rPr>
                            <w:instrText xml:space="preserve"> PAGE  \* MERGEFORMAT </w:instrText>
                          </w:r>
                          <w:r>
                            <w:rPr>
                              <w:rFonts w:ascii="宋体" w:eastAsia="宋体" w:cs="宋体" w:hAnsi="宋体" w:hint="eastAsia"/>
                              <w:sz w:val="32"/>
                              <w:szCs w:val="32"/>
                            </w:rPr>
                            <w:fldChar w:fldCharType="separate"/>
                          </w:r>
                          <w:r>
                            <w:rPr>
                              <w:rFonts w:ascii="宋体" w:eastAsia="宋体" w:cs="宋体" w:hAnsi="宋体"/>
                              <w:sz w:val="32"/>
                              <w:szCs w:val="32"/>
                            </w:rPr>
                            <w:t>- 1 -</w:t>
                          </w:r>
                          <w:r>
                            <w:rPr>
                              <w:rFonts w:ascii="宋体" w:eastAsia="宋体" w:cs="宋体" w:hAnsi="宋体" w:hint="eastAsia"/>
                              <w:sz w:val="32"/>
                              <w:szCs w:val="32"/>
                            </w:rPr>
                            <w:fldChar w:fldCharType="end"/>
                          </w:r>
                        </w:p>
                      </w:txbxContent>
                    </wps:txbx>
                    <wps:bodyPr vert="horz" wrap="none" lIns="0" tIns="0" rIns="0" bIns="0" anchor="t" anchorCtr="0" upright="1">
                      <a:spAutoFit/>
                    </wps:bodyPr>
                  </wps:wsp>
                </a:graphicData>
              </a:graphic>
            </wp:anchor>
          </w:drawing>
        </mc:Choice>
        <mc:Fallback>
          <w:pict>
            <v:rect type="#_x0000_t1" id="文本框 1" o:spid="_x0000_s6" filled="f" stroked="f" style="position:absolute;margin-left:0.0pt;margin-top:0.0pt;width:48.0pt;height:20.749922pt;z-index:14;mso-position-horizontal:center;mso-position-horizontal-relative:margin;mso-position-vertical:absolute;mso-wrap-style:none;">
              <v:stroke/>
              <v:textbox id="850" inset="0mm,0mm,0mm,0mm" o:insetmode="custom" style="layout-flow:horizontal;v-text-anchor:top;mso-fit-shape-to-text:t;">
                <w:txbxContent>
                  <w:p>
                    <w:pPr>
                      <w:pStyle w:val="17"/>
                      <w:tabs>
                        <w:tab w:val="center" w:pos="4153"/>
                        <w:tab w:val="right" w:pos="8306"/>
                      </w:tabs>
                      <w:rPr>
                        <w:rFonts w:ascii="宋体" w:eastAsia="宋体" w:cs="宋体" w:hAnsi="宋体"/>
                        <w:sz w:val="32"/>
                        <w:szCs w:val="32"/>
                      </w:rPr>
                    </w:pPr>
                    <w:r>
                      <w:rPr>
                        <w:rFonts w:ascii="宋体" w:eastAsia="宋体" w:cs="宋体" w:hAnsi="宋体" w:hint="eastAsia"/>
                        <w:sz w:val="32"/>
                        <w:szCs w:val="32"/>
                      </w:rPr>
                      <w:fldChar w:fldCharType="begin"/>
                    </w:r>
                    <w:r>
                      <w:rPr>
                        <w:rFonts w:ascii="宋体" w:eastAsia="宋体" w:cs="宋体" w:hAnsi="宋体" w:hint="eastAsia"/>
                        <w:sz w:val="32"/>
                        <w:szCs w:val="32"/>
                      </w:rPr>
                      <w:instrText xml:space="preserve"> PAGE  \* MERGEFORMAT </w:instrText>
                    </w:r>
                    <w:r>
                      <w:rPr>
                        <w:rFonts w:ascii="宋体" w:eastAsia="宋体" w:cs="宋体" w:hAnsi="宋体" w:hint="eastAsia"/>
                        <w:sz w:val="32"/>
                        <w:szCs w:val="32"/>
                      </w:rPr>
                      <w:fldChar w:fldCharType="separate"/>
                    </w:r>
                    <w:r>
                      <w:rPr>
                        <w:rFonts w:ascii="宋体" w:eastAsia="宋体" w:cs="宋体" w:hAnsi="宋体"/>
                        <w:sz w:val="32"/>
                        <w:szCs w:val="32"/>
                      </w:rPr>
                      <w:t>- 1 -</w:t>
                    </w:r>
                    <w:r>
                      <w:rPr>
                        <w:rFonts w:ascii="宋体" w:eastAsia="宋体" w:cs="宋体" w:hAnsi="宋体" w:hint="eastAsia"/>
                        <w:sz w:val="32"/>
                        <w:szCs w:val="32"/>
                      </w:rPr>
                      <w:fldChar w:fldCharType="end"/>
                    </w:r>
                  </w:p>
                </w:txbxContent>
              </v:textbox>
            </v:rect>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5"/>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Arial" w:hAnsi="Calibri"/>
      <w:b/>
      <w:bCs/>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kern w:val="2"/>
      <w:sz w:val="32"/>
      <w:szCs w:val="32"/>
      <w:lang w:val="en-US" w:eastAsia="zh-CN" w:bidi="ar-SA"/>
    </w:rPr>
  </w:style>
  <w:style w:type="paragraph" w:styleId="3">
    <w:name w:val="heading 3"/>
    <w:qFormat/>
    <w:basedOn w:val="0"/>
    <w:next w:val="0"/>
    <w:link w:val="3Char"/>
    <w:pPr>
      <w:keepNext/>
      <w:keepLines/>
      <w:tabs>
        <w:tab w:val="left" w:pos="720"/>
      </w:tabs>
      <w:spacing w:before="120" w:after="120" w:line="360" w:lineRule="auto"/>
      <w:ind w:left="720" w:hanging="720"/>
      <w:jc w:val="center"/>
      <w:outlineLvl w:val="2"/>
    </w:pPr>
    <w:rPr>
      <w:rFonts w:ascii="Times New Roman" w:eastAsia="宋体" w:cs="Times New Roman" w:hAnsi="宋体"/>
      <w:b/>
      <w:sz w:val="32"/>
      <w:szCs w:val="20"/>
      <w:lang w:val="en-US" w:eastAsia="zh-CN" w:bidi="ar-SA"/>
    </w:rPr>
  </w:style>
  <w:style w:type="character" w:customStyle="1" w:styleId="3Char">
    <w:name w:val="heading 3 Char"/>
    <w:basedOn w:val="10"/>
    <w:link w:val="3"/>
    <w:rPr>
      <w:rFonts w:ascii="Times New Roman" w:eastAsia="宋体" w:cs="Times New Roman" w:hAnsi="宋体"/>
      <w:b/>
      <w:kern w:val="2"/>
      <w:sz w:val="32"/>
      <w:szCs w:val="20"/>
      <w:lang w:val="en-US" w:eastAsia="zh-CN" w:bidi="ar-SA"/>
    </w:rPr>
  </w:style>
  <w:style w:type="character" w:default="1" w:styleId="10">
    <w:name w:val="Default Paragraph Font"/>
    <w:qFormat/>
  </w:style>
  <w:style w:type="paragraph" w:styleId="15">
    <w:name w:val="Body Text"/>
    <w:qFormat/>
    <w:basedOn w:val="0"/>
    <w:rPr>
      <w:rFonts w:ascii="Times New Roman" w:eastAsia="宋体" w:cs="Times New Roman" w:hAnsi="Times New Roman"/>
      <w:szCs w:val="21"/>
    </w:rPr>
  </w:style>
  <w:style w:type="paragraph" w:styleId="16">
    <w:name w:val="Balloon Text"/>
    <w:qFormat/>
    <w:basedOn w:val="0"/>
    <w:rPr>
      <w:sz w:val="18"/>
      <w:szCs w:val="18"/>
    </w:rPr>
  </w:style>
  <w:style w:type="paragraph" w:styleId="17">
    <w:name w:val="footer"/>
    <w:qFormat/>
    <w:basedOn w:val="0"/>
    <w:pPr>
      <w:tabs>
        <w:tab w:val="center" w:pos="4153"/>
        <w:tab w:val="right" w:pos="8306"/>
      </w:tabs>
      <w:snapToGrid w:val="0"/>
      <w:jc w:val="left"/>
    </w:pPr>
    <w:rPr>
      <w:sz w:val="18"/>
      <w:szCs w:val="18"/>
    </w:rPr>
  </w:style>
  <w:style w:type="paragraph" w:styleId="18">
    <w:name w:val="header"/>
    <w:qFormat/>
    <w:basedOn w:val="0"/>
    <w:pPr>
      <w:pBdr>
        <w:bottom w:val="single" w:sz="6" w:space="1" w:color="auto"/>
      </w:pBdr>
      <w:tabs>
        <w:tab w:val="center" w:pos="4153"/>
        <w:tab w:val="right" w:pos="8306"/>
      </w:tabs>
      <w:snapToGrid w:val="0"/>
      <w:jc w:val="center"/>
    </w:pPr>
    <w:rPr>
      <w:sz w:val="18"/>
      <w:szCs w:val="18"/>
    </w:rPr>
  </w:style>
  <w:style w:type="paragraph" w:styleId="19">
    <w:name w:val="Normal (Web)"/>
    <w:qFormat/>
    <w:basedOn w:val="0"/>
    <w:pPr>
      <w:widowControl/>
      <w:spacing w:before="100" w:beforeAutospacing="1" w:after="100" w:afterAutospacing="1"/>
      <w:jc w:val="left"/>
    </w:pPr>
    <w:rPr>
      <w:rFonts w:ascii="宋体" w:eastAsia="宋体" w:cs="Times New Roman" w:hAnsi="宋体"/>
      <w:kern w:val="0"/>
      <w:sz w:val="24"/>
      <w:szCs w:val="24"/>
    </w:rPr>
  </w:style>
  <w:style w:type="character" w:customStyle="1" w:styleId="20">
    <w:name w:val="NormalCharacter"/>
    <w:qFormat/>
  </w:style>
  <w:style w:type="paragraph" w:styleId="21">
    <w:name w:val="List Paragraph"/>
    <w:qFormat/>
    <w:basedOn w:val="0"/>
    <w:pPr>
      <w:ind w:firstLineChars="200" w:firstLine="200"/>
    </w:pPr>
  </w:style>
  <w:style w:type="paragraph" w:styleId="22">
    <w:name w:val="annotation text"/>
    <w:qFormat/>
    <w:basedOn w:val="0"/>
    <w:pPr>
      <w:jc w:val="left"/>
    </w:pPr>
    <w:rPr>
      <w:rFonts w:ascii="Times New Roman" w:eastAsia="宋体" w:cs="Times New Roman" w:hAnsi="Times New Roman"/>
      <w:szCs w:val="20"/>
    </w:rPr>
  </w:style>
  <w:style w:type="paragraph" w:styleId="23">
    <w:name w:val="index 5"/>
    <w:qFormat/>
    <w:basedOn w:val="0"/>
    <w:autoRedefine/>
    <w:next w:val="0"/>
    <w:pPr>
      <w:widowControl w:val="0"/>
      <w:ind w:left="1680"/>
      <w:jc w:val="left"/>
    </w:pPr>
    <w:rPr>
      <w:rFonts w:ascii="Calibri" w:eastAsia="宋体" w:cs="Arial" w:hAnsi="Calibri"/>
      <w:kern w:val="2"/>
      <w:sz w:val="21"/>
      <w:szCs w:val="22"/>
      <w:lang w:val="en-US" w:eastAsia="zh-CN" w:bidi="ar-SA"/>
    </w:rPr>
  </w:style>
  <w:style w:type="paragraph" w:styleId="24">
    <w:name w:val="Normal Indent"/>
    <w:qFormat/>
    <w:basedOn w:val="0"/>
    <w:pPr>
      <w:ind w:firstLine="420"/>
    </w:pPr>
    <w:rPr>
      <w:rFonts w:ascii="Times New Roman" w:eastAsia="宋体" w:cs="Times New Roman" w:hAnsi="宋体"/>
      <w:sz w:val="20"/>
      <w:szCs w:val="20"/>
      <w:lang w:val="en-US" w:eastAsia="zh-CN" w:bidi="ar-SA"/>
    </w:rPr>
  </w:style>
  <w:style w:type="paragraph" w:styleId="25">
    <w:name w:val="Body Text First Indent"/>
    <w:qFormat/>
    <w:basedOn w:val="0"/>
    <w:next w:val="16"/>
    <w:pPr>
      <w:widowControl w:val="0"/>
      <w:spacing w:after="120"/>
      <w:ind w:firstLineChars="100" w:firstLine="100"/>
      <w:jc w:val="both"/>
    </w:pPr>
    <w:rPr>
      <w:rFonts w:ascii="Times New Roman" w:eastAsia="宋体" w:cs="Times New Roman" w:hAnsi="Times New Roman"/>
      <w:kern w:val="2"/>
      <w:sz w:val="21"/>
      <w:szCs w:val="24"/>
      <w:lang w:val="en-US" w:eastAsia="zh-CN" w:bidi="ar-SA"/>
    </w:rPr>
  </w:style>
  <w:style w:type="character" w:styleId="26">
    <w:name w:val="HTML Variable"/>
    <w:qFormat/>
    <w:basedOn w:val="10"/>
    <w:rPr>
      <w:i/>
    </w:rPr>
  </w:style>
  <w:style w:type="paragraph" w:customStyle="1" w:styleId="27">
    <w:name w:val="Table Text"/>
    <w:qFormat/>
    <w:basedOn w:val="0"/>
    <w:pPr>
      <w:kinsoku w:val="0"/>
      <w:autoSpaceDE w:val="0"/>
      <w:autoSpaceDN w:val="0"/>
      <w:adjustRightInd w:val="0"/>
      <w:snapToGrid w:val="0"/>
      <w:spacing w:line="240" w:lineRule="auto"/>
      <w:jc w:val="left"/>
      <w:textAlignment w:val="baseline"/>
    </w:pPr>
    <w:rPr>
      <w:rFonts w:ascii="宋体" w:eastAsia="宋体" w:cs="宋体" w:hAnsi="宋体"/>
      <w:snapToGrid w:val="0"/>
      <w:color w:val="000000"/>
      <w:kern w:val="0"/>
      <w:sz w:val="21"/>
      <w:szCs w:val="21"/>
      <w:lang w:val="en-US" w:bidi="ar-SA"/>
    </w:rPr>
  </w:style>
  <w:style w:type="paragraph" w:styleId="28">
    <w:name w:val="annotation subject"/>
    <w:qFormat/>
    <w:basedOn w:val="22"/>
    <w:next w:val="22"/>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6CAD8FBF-C45B-498C-BC0F-A0DDCE542E2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16617</TotalTime>
  <Application>Yozo_Office27021597764231189</Application>
  <Pages>18</Pages>
  <Words>0</Words>
  <Characters>8930</Characters>
  <Lines>0</Lines>
  <Paragraphs>129</Paragraphs>
  <CharactersWithSpaces>11907</CharactersWithSpaces>
  <Company>Sky123.Org</Company>
</Properties>
</file>

<file path=docProps/core.xml><?xml version="1.0" encoding="utf-8"?>
<cp:coreProperties xmlns:cp="http://schemas.openxmlformats.org/package/2006/metadata/core-properties" xmlns:dc="http://purl.org/dc/elements/1.1/" xmlns:dcterms="http://purl.org/dc/terms/" xmlns:xsi="http://www.w3.org/2001/XMLSchema-instance">
  <dc:creator>李青国</dc:creator>
  <cp:lastModifiedBy>余松莅</cp:lastModifiedBy>
  <cp:revision>13</cp:revision>
  <cp:lastPrinted>2023-05-24T03:20:00Z</cp:lastPrinted>
  <dcterms:created xsi:type="dcterms:W3CDTF">2024-11-06T07:06:00Z</dcterms:created>
  <dcterms:modified xsi:type="dcterms:W3CDTF">2025-03-26T03:18:54Z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2052-11.8.6.8811</vt:lpwstr>
  </property>
</Properties>
</file>